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CD13" w14:textId="77777777" w:rsidR="00F40032" w:rsidRPr="00153E70" w:rsidRDefault="00F40032" w:rsidP="00F40032">
      <w:pPr>
        <w:pStyle w:val="Default"/>
      </w:pPr>
    </w:p>
    <w:p w14:paraId="5CE0EF5B" w14:textId="77777777" w:rsidR="00F40032" w:rsidRPr="00153E70" w:rsidRDefault="00F40032" w:rsidP="00F40032">
      <w:pPr>
        <w:pStyle w:val="Default"/>
      </w:pPr>
    </w:p>
    <w:p w14:paraId="334A3970" w14:textId="1DB861BC" w:rsidR="00F40032" w:rsidRPr="00153E70" w:rsidRDefault="00F40032" w:rsidP="00F40032">
      <w:pPr>
        <w:pStyle w:val="Default"/>
        <w:jc w:val="center"/>
      </w:pPr>
      <w:r w:rsidRPr="00153E70">
        <w:rPr>
          <w:noProof/>
        </w:rPr>
        <w:drawing>
          <wp:inline distT="0" distB="0" distL="0" distR="0" wp14:anchorId="458A22C4" wp14:editId="5F441956">
            <wp:extent cx="4166484" cy="2804037"/>
            <wp:effectExtent l="0" t="0" r="5715" b="0"/>
            <wp:docPr id="2" name="Imagen 2"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Aplicación&#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908" cy="2859508"/>
                    </a:xfrm>
                    <a:prstGeom prst="rect">
                      <a:avLst/>
                    </a:prstGeom>
                    <a:noFill/>
                    <a:ln>
                      <a:noFill/>
                    </a:ln>
                  </pic:spPr>
                </pic:pic>
              </a:graphicData>
            </a:graphic>
          </wp:inline>
        </w:drawing>
      </w:r>
    </w:p>
    <w:p w14:paraId="73D3C1A2" w14:textId="77777777" w:rsidR="00F40032" w:rsidRPr="00153E70" w:rsidRDefault="00F40032" w:rsidP="00F40032">
      <w:pPr>
        <w:pStyle w:val="Default"/>
      </w:pPr>
    </w:p>
    <w:p w14:paraId="01022EAF" w14:textId="77777777" w:rsidR="00F40032" w:rsidRPr="00153E70" w:rsidRDefault="00F40032" w:rsidP="00F40032">
      <w:pPr>
        <w:pStyle w:val="Default"/>
      </w:pPr>
    </w:p>
    <w:p w14:paraId="7549DB35" w14:textId="77777777" w:rsidR="00F40032" w:rsidRPr="00153E70" w:rsidRDefault="00F40032" w:rsidP="00F40032">
      <w:pPr>
        <w:pStyle w:val="Default"/>
      </w:pPr>
    </w:p>
    <w:p w14:paraId="0E854D31" w14:textId="77777777" w:rsidR="00F40032" w:rsidRPr="00153E70" w:rsidRDefault="00F40032" w:rsidP="00F40032">
      <w:pPr>
        <w:pStyle w:val="Default"/>
      </w:pPr>
    </w:p>
    <w:p w14:paraId="2D3F1815" w14:textId="77777777" w:rsidR="00F40032" w:rsidRPr="00153E70" w:rsidRDefault="00F40032" w:rsidP="00F40032">
      <w:pPr>
        <w:pStyle w:val="Default"/>
      </w:pPr>
    </w:p>
    <w:p w14:paraId="479C285F" w14:textId="3CB4826D" w:rsidR="00F40032" w:rsidRPr="00153E70" w:rsidRDefault="00F40032" w:rsidP="00153E70">
      <w:pPr>
        <w:pStyle w:val="Default"/>
        <w:jc w:val="center"/>
        <w:rPr>
          <w:sz w:val="36"/>
          <w:szCs w:val="36"/>
        </w:rPr>
      </w:pPr>
      <w:r w:rsidRPr="00153E70">
        <w:rPr>
          <w:sz w:val="36"/>
          <w:szCs w:val="36"/>
        </w:rPr>
        <w:t>Programa Anual de Trabajo 202</w:t>
      </w:r>
      <w:r w:rsidR="006360E3">
        <w:rPr>
          <w:sz w:val="36"/>
          <w:szCs w:val="36"/>
        </w:rPr>
        <w:t>2</w:t>
      </w:r>
      <w:r w:rsidRPr="00153E70">
        <w:rPr>
          <w:sz w:val="36"/>
          <w:szCs w:val="36"/>
        </w:rPr>
        <w:t>-202</w:t>
      </w:r>
      <w:r w:rsidR="006360E3">
        <w:rPr>
          <w:sz w:val="36"/>
          <w:szCs w:val="36"/>
        </w:rPr>
        <w:t>3</w:t>
      </w:r>
    </w:p>
    <w:p w14:paraId="521F8DF9" w14:textId="0E5ECC61" w:rsidR="00F40032" w:rsidRPr="00153E70" w:rsidRDefault="00F40032" w:rsidP="00153E70">
      <w:pPr>
        <w:pStyle w:val="Default"/>
        <w:jc w:val="center"/>
        <w:rPr>
          <w:color w:val="auto"/>
          <w:sz w:val="16"/>
          <w:szCs w:val="16"/>
        </w:rPr>
      </w:pPr>
      <w:r w:rsidRPr="00153E70">
        <w:rPr>
          <w:b/>
          <w:bCs/>
          <w:sz w:val="40"/>
          <w:szCs w:val="40"/>
        </w:rPr>
        <w:t>Observatorio de Participación Política de las Mujeres en el Estado de San Luis Potosí</w:t>
      </w:r>
    </w:p>
    <w:p w14:paraId="1F966D30" w14:textId="77777777" w:rsidR="00F40032" w:rsidRPr="00153E70" w:rsidRDefault="00F40032" w:rsidP="00153E70">
      <w:pPr>
        <w:pStyle w:val="Default"/>
        <w:jc w:val="center"/>
        <w:rPr>
          <w:color w:val="auto"/>
        </w:rPr>
      </w:pPr>
    </w:p>
    <w:p w14:paraId="68E79B35" w14:textId="77777777" w:rsidR="00F40032" w:rsidRPr="00153E70" w:rsidRDefault="00F40032" w:rsidP="00F40032">
      <w:pPr>
        <w:pStyle w:val="Default"/>
        <w:pageBreakBefore/>
        <w:rPr>
          <w:color w:val="auto"/>
          <w:sz w:val="32"/>
          <w:szCs w:val="32"/>
        </w:rPr>
      </w:pPr>
      <w:r w:rsidRPr="00153E70">
        <w:rPr>
          <w:b/>
          <w:bCs/>
          <w:color w:val="auto"/>
          <w:sz w:val="32"/>
          <w:szCs w:val="32"/>
        </w:rPr>
        <w:lastRenderedPageBreak/>
        <w:t xml:space="preserve">CONTENIDO </w:t>
      </w:r>
    </w:p>
    <w:p w14:paraId="183A391E" w14:textId="77777777" w:rsidR="00F40032" w:rsidRPr="00153E70" w:rsidRDefault="00F40032" w:rsidP="00F40032">
      <w:pPr>
        <w:pStyle w:val="Default"/>
        <w:rPr>
          <w:color w:val="auto"/>
          <w:sz w:val="32"/>
          <w:szCs w:val="32"/>
        </w:rPr>
      </w:pPr>
      <w:r w:rsidRPr="00153E70">
        <w:rPr>
          <w:color w:val="auto"/>
          <w:sz w:val="32"/>
          <w:szCs w:val="32"/>
        </w:rPr>
        <w:t xml:space="preserve">1. PRESENTACIÓN </w:t>
      </w:r>
    </w:p>
    <w:p w14:paraId="0CADE6DA" w14:textId="77777777" w:rsidR="00F40032" w:rsidRPr="00153E70" w:rsidRDefault="00F40032" w:rsidP="00F40032">
      <w:pPr>
        <w:pStyle w:val="Default"/>
        <w:rPr>
          <w:color w:val="auto"/>
          <w:sz w:val="32"/>
          <w:szCs w:val="32"/>
        </w:rPr>
      </w:pPr>
    </w:p>
    <w:p w14:paraId="067E0075" w14:textId="0DC77266" w:rsidR="00F40032" w:rsidRPr="00153E70" w:rsidRDefault="00F40032" w:rsidP="00F40032">
      <w:pPr>
        <w:pStyle w:val="Default"/>
        <w:rPr>
          <w:color w:val="auto"/>
          <w:sz w:val="32"/>
          <w:szCs w:val="32"/>
        </w:rPr>
      </w:pPr>
      <w:r w:rsidRPr="00153E70">
        <w:rPr>
          <w:color w:val="auto"/>
          <w:sz w:val="32"/>
          <w:szCs w:val="32"/>
        </w:rPr>
        <w:t xml:space="preserve">2. </w:t>
      </w:r>
      <w:r w:rsidR="001C27BB">
        <w:rPr>
          <w:color w:val="auto"/>
          <w:sz w:val="32"/>
          <w:szCs w:val="32"/>
        </w:rPr>
        <w:t>OBJETIVOS</w:t>
      </w:r>
      <w:r w:rsidRPr="00153E70">
        <w:rPr>
          <w:color w:val="auto"/>
          <w:sz w:val="32"/>
          <w:szCs w:val="32"/>
        </w:rPr>
        <w:t xml:space="preserve"> </w:t>
      </w:r>
    </w:p>
    <w:p w14:paraId="2AE43204" w14:textId="77777777" w:rsidR="00F40032" w:rsidRPr="00153E70" w:rsidRDefault="00F40032" w:rsidP="00F40032">
      <w:pPr>
        <w:pStyle w:val="Default"/>
        <w:rPr>
          <w:color w:val="auto"/>
          <w:sz w:val="32"/>
          <w:szCs w:val="32"/>
        </w:rPr>
      </w:pPr>
    </w:p>
    <w:p w14:paraId="0F5F8F0F" w14:textId="77777777" w:rsidR="00F40032" w:rsidRPr="00153E70" w:rsidRDefault="00F40032" w:rsidP="00F40032">
      <w:pPr>
        <w:pStyle w:val="Default"/>
        <w:spacing w:after="93"/>
        <w:rPr>
          <w:color w:val="auto"/>
          <w:sz w:val="28"/>
          <w:szCs w:val="28"/>
        </w:rPr>
      </w:pPr>
      <w:r w:rsidRPr="00153E70">
        <w:rPr>
          <w:color w:val="auto"/>
          <w:sz w:val="28"/>
          <w:szCs w:val="28"/>
        </w:rPr>
        <w:t xml:space="preserve">2.1 OBJETIVO GENERAL </w:t>
      </w:r>
    </w:p>
    <w:p w14:paraId="5FFFF07D" w14:textId="77777777" w:rsidR="00F40032" w:rsidRPr="00153E70" w:rsidRDefault="00F40032" w:rsidP="00F40032">
      <w:pPr>
        <w:pStyle w:val="Default"/>
        <w:spacing w:after="93"/>
        <w:rPr>
          <w:color w:val="auto"/>
          <w:sz w:val="28"/>
          <w:szCs w:val="28"/>
        </w:rPr>
      </w:pPr>
      <w:r w:rsidRPr="00153E70">
        <w:rPr>
          <w:color w:val="auto"/>
          <w:sz w:val="28"/>
          <w:szCs w:val="28"/>
        </w:rPr>
        <w:t xml:space="preserve">2.2 OBJETIVOS ESPECÍFICOS </w:t>
      </w:r>
    </w:p>
    <w:p w14:paraId="3A428EE8" w14:textId="77777777" w:rsidR="001C27BB" w:rsidRDefault="001C27BB" w:rsidP="00F40032">
      <w:pPr>
        <w:pStyle w:val="Default"/>
        <w:rPr>
          <w:color w:val="auto"/>
          <w:sz w:val="28"/>
          <w:szCs w:val="28"/>
        </w:rPr>
      </w:pPr>
    </w:p>
    <w:p w14:paraId="5B138B01" w14:textId="77777777" w:rsidR="00F40032" w:rsidRPr="00153E70" w:rsidRDefault="00F40032" w:rsidP="00F40032">
      <w:pPr>
        <w:pStyle w:val="Default"/>
        <w:rPr>
          <w:color w:val="auto"/>
          <w:sz w:val="28"/>
          <w:szCs w:val="28"/>
        </w:rPr>
      </w:pPr>
    </w:p>
    <w:p w14:paraId="17C88294" w14:textId="79434362" w:rsidR="00F40032" w:rsidRPr="00153E70" w:rsidRDefault="00F40032" w:rsidP="00F40032">
      <w:pPr>
        <w:pStyle w:val="Default"/>
        <w:rPr>
          <w:color w:val="auto"/>
          <w:sz w:val="32"/>
          <w:szCs w:val="32"/>
        </w:rPr>
      </w:pPr>
      <w:r w:rsidRPr="00153E70">
        <w:rPr>
          <w:color w:val="auto"/>
          <w:sz w:val="32"/>
          <w:szCs w:val="32"/>
        </w:rPr>
        <w:t>3. LÍNEAS DE ACCIÓN</w:t>
      </w:r>
      <w:r w:rsidR="001C27BB">
        <w:rPr>
          <w:color w:val="auto"/>
          <w:sz w:val="32"/>
          <w:szCs w:val="32"/>
        </w:rPr>
        <w:t xml:space="preserve">, ACTIVIDADES </w:t>
      </w:r>
      <w:r w:rsidRPr="00153E70">
        <w:rPr>
          <w:color w:val="auto"/>
          <w:sz w:val="32"/>
          <w:szCs w:val="32"/>
        </w:rPr>
        <w:t xml:space="preserve">Y RESPONSABILIDADES </w:t>
      </w:r>
    </w:p>
    <w:p w14:paraId="024619BF" w14:textId="77777777" w:rsidR="00F40032" w:rsidRPr="00153E70" w:rsidRDefault="00F40032" w:rsidP="00F40032">
      <w:pPr>
        <w:pStyle w:val="Default"/>
        <w:rPr>
          <w:color w:val="auto"/>
          <w:sz w:val="32"/>
          <w:szCs w:val="32"/>
        </w:rPr>
      </w:pPr>
    </w:p>
    <w:p w14:paraId="56566DC8" w14:textId="77777777" w:rsidR="00F40032" w:rsidRPr="00153E70" w:rsidRDefault="00F40032" w:rsidP="00F40032">
      <w:pPr>
        <w:pStyle w:val="Default"/>
        <w:rPr>
          <w:color w:val="auto"/>
          <w:sz w:val="32"/>
          <w:szCs w:val="32"/>
        </w:rPr>
      </w:pPr>
      <w:r w:rsidRPr="00153E70">
        <w:rPr>
          <w:color w:val="auto"/>
          <w:sz w:val="32"/>
          <w:szCs w:val="32"/>
        </w:rPr>
        <w:t xml:space="preserve">4. CALENDARIO DE SESIONES </w:t>
      </w:r>
    </w:p>
    <w:p w14:paraId="0628233C" w14:textId="77777777" w:rsidR="00F40032" w:rsidRPr="00153E70" w:rsidRDefault="00F40032" w:rsidP="00F40032">
      <w:pPr>
        <w:pStyle w:val="Default"/>
        <w:rPr>
          <w:color w:val="auto"/>
        </w:rPr>
      </w:pPr>
    </w:p>
    <w:p w14:paraId="4CDC77B5" w14:textId="77777777" w:rsidR="00F40032" w:rsidRPr="00153E70" w:rsidRDefault="00F40032" w:rsidP="00F40032">
      <w:pPr>
        <w:pStyle w:val="Default"/>
        <w:pageBreakBefore/>
        <w:rPr>
          <w:color w:val="auto"/>
        </w:rPr>
      </w:pPr>
    </w:p>
    <w:p w14:paraId="40E93C76" w14:textId="77777777" w:rsidR="00F40032" w:rsidRPr="00153E70" w:rsidRDefault="00F40032" w:rsidP="00F40032">
      <w:pPr>
        <w:pStyle w:val="Default"/>
        <w:rPr>
          <w:color w:val="auto"/>
          <w:sz w:val="28"/>
          <w:szCs w:val="28"/>
        </w:rPr>
      </w:pPr>
      <w:r w:rsidRPr="00153E70">
        <w:rPr>
          <w:b/>
          <w:bCs/>
          <w:color w:val="auto"/>
          <w:sz w:val="28"/>
          <w:szCs w:val="28"/>
        </w:rPr>
        <w:t xml:space="preserve">1. PRESENTACIÓN </w:t>
      </w:r>
    </w:p>
    <w:p w14:paraId="4EC14F50" w14:textId="77777777" w:rsidR="00F40032" w:rsidRPr="00153E70" w:rsidRDefault="00F40032" w:rsidP="00F40032">
      <w:pPr>
        <w:pStyle w:val="Default"/>
        <w:rPr>
          <w:color w:val="auto"/>
          <w:sz w:val="28"/>
          <w:szCs w:val="28"/>
        </w:rPr>
      </w:pPr>
    </w:p>
    <w:p w14:paraId="2FB39816" w14:textId="3C9D9687" w:rsidR="00E92C5F" w:rsidRDefault="00E92C5F" w:rsidP="00E92C5F">
      <w:pPr>
        <w:pStyle w:val="Default"/>
        <w:jc w:val="both"/>
        <w:rPr>
          <w:color w:val="auto"/>
          <w:sz w:val="23"/>
          <w:szCs w:val="23"/>
        </w:rPr>
      </w:pPr>
      <w:r>
        <w:rPr>
          <w:color w:val="auto"/>
          <w:sz w:val="23"/>
          <w:szCs w:val="23"/>
        </w:rPr>
        <w:t xml:space="preserve">En el año </w:t>
      </w:r>
      <w:r w:rsidRPr="00E92C5F">
        <w:rPr>
          <w:color w:val="auto"/>
          <w:sz w:val="23"/>
          <w:szCs w:val="23"/>
        </w:rPr>
        <w:t>2014</w:t>
      </w:r>
      <w:r w:rsidR="000E2DB9">
        <w:rPr>
          <w:color w:val="auto"/>
          <w:sz w:val="23"/>
          <w:szCs w:val="23"/>
        </w:rPr>
        <w:t xml:space="preserve"> surgió el Observatorio de Participación Política de las Mujeres en México, </w:t>
      </w:r>
      <w:r w:rsidRPr="00E92C5F">
        <w:rPr>
          <w:color w:val="auto"/>
          <w:sz w:val="23"/>
          <w:szCs w:val="23"/>
        </w:rPr>
        <w:t>como iniciativa institucional de parte</w:t>
      </w:r>
      <w:r>
        <w:rPr>
          <w:color w:val="auto"/>
          <w:sz w:val="23"/>
          <w:szCs w:val="23"/>
        </w:rPr>
        <w:t xml:space="preserve"> </w:t>
      </w:r>
      <w:r w:rsidRPr="00E92C5F">
        <w:rPr>
          <w:color w:val="auto"/>
          <w:sz w:val="23"/>
          <w:szCs w:val="23"/>
        </w:rPr>
        <w:t>de instancias que desde el Estado promueven los derechos de las mujeres y los procesos de</w:t>
      </w:r>
      <w:r>
        <w:rPr>
          <w:color w:val="auto"/>
          <w:sz w:val="23"/>
          <w:szCs w:val="23"/>
        </w:rPr>
        <w:t xml:space="preserve"> </w:t>
      </w:r>
      <w:r w:rsidRPr="00E92C5F">
        <w:rPr>
          <w:color w:val="auto"/>
          <w:sz w:val="23"/>
          <w:szCs w:val="23"/>
        </w:rPr>
        <w:t xml:space="preserve">representación democrática, </w:t>
      </w:r>
      <w:r w:rsidR="000E2DB9">
        <w:rPr>
          <w:color w:val="auto"/>
          <w:sz w:val="23"/>
          <w:szCs w:val="23"/>
        </w:rPr>
        <w:t xml:space="preserve">mediante </w:t>
      </w:r>
      <w:r>
        <w:rPr>
          <w:color w:val="auto"/>
          <w:sz w:val="23"/>
          <w:szCs w:val="23"/>
        </w:rPr>
        <w:t xml:space="preserve">la suscripción de un convenio de colaboración interinstitucional, entre el </w:t>
      </w:r>
      <w:r w:rsidRPr="00E92C5F">
        <w:rPr>
          <w:color w:val="auto"/>
          <w:sz w:val="23"/>
          <w:szCs w:val="23"/>
        </w:rPr>
        <w:t>Instituto Nacional de las Mujeres (INMUJERES), el Tribunal Electoral del Poder</w:t>
      </w:r>
      <w:r>
        <w:rPr>
          <w:color w:val="auto"/>
          <w:sz w:val="23"/>
          <w:szCs w:val="23"/>
        </w:rPr>
        <w:t xml:space="preserve"> </w:t>
      </w:r>
      <w:r w:rsidRPr="00E92C5F">
        <w:rPr>
          <w:color w:val="auto"/>
          <w:sz w:val="23"/>
          <w:szCs w:val="23"/>
        </w:rPr>
        <w:t xml:space="preserve">Judicial de la Federación (TEPJF) y el Instituto Nacional Electoral (INE). </w:t>
      </w:r>
    </w:p>
    <w:p w14:paraId="46AEBDFA" w14:textId="77777777" w:rsidR="00E92C5F" w:rsidRDefault="00E92C5F" w:rsidP="00E92C5F">
      <w:pPr>
        <w:pStyle w:val="Default"/>
        <w:jc w:val="both"/>
        <w:rPr>
          <w:color w:val="auto"/>
          <w:sz w:val="23"/>
          <w:szCs w:val="23"/>
        </w:rPr>
      </w:pPr>
    </w:p>
    <w:p w14:paraId="013F7654" w14:textId="77777777" w:rsidR="000E2DB9" w:rsidRDefault="000E2DB9" w:rsidP="00153E70">
      <w:pPr>
        <w:pStyle w:val="Default"/>
        <w:jc w:val="both"/>
        <w:rPr>
          <w:color w:val="auto"/>
          <w:sz w:val="23"/>
          <w:szCs w:val="23"/>
        </w:rPr>
      </w:pPr>
      <w:r w:rsidRPr="000E2DB9">
        <w:rPr>
          <w:color w:val="auto"/>
          <w:sz w:val="23"/>
          <w:szCs w:val="23"/>
        </w:rPr>
        <w:t xml:space="preserve">El </w:t>
      </w:r>
      <w:r>
        <w:rPr>
          <w:color w:val="auto"/>
          <w:sz w:val="23"/>
          <w:szCs w:val="23"/>
        </w:rPr>
        <w:t xml:space="preserve">25 </w:t>
      </w:r>
      <w:r w:rsidRPr="000E2DB9">
        <w:rPr>
          <w:color w:val="auto"/>
          <w:sz w:val="23"/>
          <w:szCs w:val="23"/>
        </w:rPr>
        <w:t>de m</w:t>
      </w:r>
      <w:r>
        <w:rPr>
          <w:color w:val="auto"/>
          <w:sz w:val="23"/>
          <w:szCs w:val="23"/>
        </w:rPr>
        <w:t>ayo</w:t>
      </w:r>
      <w:r w:rsidRPr="000E2DB9">
        <w:rPr>
          <w:color w:val="auto"/>
          <w:sz w:val="23"/>
          <w:szCs w:val="23"/>
        </w:rPr>
        <w:t xml:space="preserve"> de 201</w:t>
      </w:r>
      <w:r>
        <w:rPr>
          <w:color w:val="auto"/>
          <w:sz w:val="23"/>
          <w:szCs w:val="23"/>
        </w:rPr>
        <w:t>7</w:t>
      </w:r>
      <w:r w:rsidRPr="000E2DB9">
        <w:rPr>
          <w:color w:val="auto"/>
          <w:sz w:val="23"/>
          <w:szCs w:val="23"/>
        </w:rPr>
        <w:t xml:space="preserve">, el Instituto </w:t>
      </w:r>
      <w:r>
        <w:rPr>
          <w:color w:val="auto"/>
          <w:sz w:val="23"/>
          <w:szCs w:val="23"/>
        </w:rPr>
        <w:t xml:space="preserve">de las Mujeres </w:t>
      </w:r>
      <w:r w:rsidRPr="00153E70">
        <w:rPr>
          <w:color w:val="auto"/>
          <w:sz w:val="23"/>
          <w:szCs w:val="23"/>
        </w:rPr>
        <w:t>del Estado de San Luis Potosí, el Tribunal Electoral del Estado y el Consejo Estatal Electoral y de Participación Ciudadana (CEEPAC)</w:t>
      </w:r>
      <w:r>
        <w:rPr>
          <w:color w:val="auto"/>
          <w:sz w:val="23"/>
          <w:szCs w:val="23"/>
        </w:rPr>
        <w:t xml:space="preserve">, </w:t>
      </w:r>
      <w:r w:rsidRPr="000E2DB9">
        <w:rPr>
          <w:color w:val="auto"/>
          <w:sz w:val="23"/>
          <w:szCs w:val="23"/>
        </w:rPr>
        <w:t xml:space="preserve">firmaron el convenio de colaboración interinstitucional para formalizar la integración de este Observatorio en la entidad. A partir de su integración, estas instancias </w:t>
      </w:r>
      <w:r>
        <w:rPr>
          <w:color w:val="auto"/>
          <w:sz w:val="23"/>
          <w:szCs w:val="23"/>
        </w:rPr>
        <w:t xml:space="preserve">han conjugado </w:t>
      </w:r>
      <w:r w:rsidRPr="000E2DB9">
        <w:rPr>
          <w:color w:val="auto"/>
          <w:sz w:val="23"/>
          <w:szCs w:val="23"/>
        </w:rPr>
        <w:t xml:space="preserve">esfuerzos para impulsar los objetivos estratégicos del Observatorio, los cuales tienen su origen en la reforma político electoral del año 2014, que estableció la obligatoriedad de cumplir con paridad de género en la postulación de candidaturas a legislaturas federales y locales. </w:t>
      </w:r>
    </w:p>
    <w:p w14:paraId="135DCA9F" w14:textId="1032F6E1" w:rsidR="000E2DB9" w:rsidRDefault="000E2DB9" w:rsidP="00153E70">
      <w:pPr>
        <w:pStyle w:val="Default"/>
        <w:jc w:val="both"/>
        <w:rPr>
          <w:color w:val="auto"/>
          <w:sz w:val="23"/>
          <w:szCs w:val="23"/>
        </w:rPr>
      </w:pPr>
    </w:p>
    <w:p w14:paraId="0E35C34C" w14:textId="18D469A7" w:rsidR="000E2DB9" w:rsidRDefault="000E2DB9" w:rsidP="00153E70">
      <w:pPr>
        <w:pStyle w:val="Default"/>
        <w:jc w:val="both"/>
        <w:rPr>
          <w:color w:val="auto"/>
          <w:sz w:val="23"/>
          <w:szCs w:val="23"/>
        </w:rPr>
      </w:pPr>
      <w:r>
        <w:rPr>
          <w:color w:val="auto"/>
          <w:sz w:val="23"/>
          <w:szCs w:val="23"/>
        </w:rPr>
        <w:t>En octubre de 2022, se actualizó el Convenio de colaboración institucional antes referido, para incluir entre los integrantes permanentes a la Fiscalía Especializada en Materia de Delitos Electorales del estado de San Luis Potosí, a efecto de sumar esfuerzos para consolidar acciones en materia de igualdad para la participación política de las mujeres.</w:t>
      </w:r>
    </w:p>
    <w:p w14:paraId="32CD822E" w14:textId="3ABAF883" w:rsidR="000E2DB9" w:rsidRDefault="000E2DB9" w:rsidP="00153E70">
      <w:pPr>
        <w:pStyle w:val="Default"/>
        <w:jc w:val="both"/>
        <w:rPr>
          <w:color w:val="auto"/>
          <w:sz w:val="23"/>
          <w:szCs w:val="23"/>
        </w:rPr>
      </w:pPr>
    </w:p>
    <w:p w14:paraId="44F7F321" w14:textId="77777777" w:rsidR="000E2DB9" w:rsidRDefault="000E2DB9" w:rsidP="00153E70">
      <w:pPr>
        <w:pStyle w:val="Default"/>
        <w:jc w:val="both"/>
        <w:rPr>
          <w:color w:val="auto"/>
          <w:sz w:val="23"/>
          <w:szCs w:val="23"/>
        </w:rPr>
      </w:pPr>
      <w:r>
        <w:rPr>
          <w:color w:val="auto"/>
          <w:sz w:val="23"/>
          <w:szCs w:val="23"/>
        </w:rPr>
        <w:t xml:space="preserve">La dirección ejecutiva del Observatorio se conforma por las personas que representan cada una de las instituciones integrantes permanentes. Dicha dirección estará presidida en el periodo 2022-2023 por el Tribunal Electoral del Estado de San Luis Potosí. </w:t>
      </w:r>
    </w:p>
    <w:p w14:paraId="1686C471" w14:textId="77777777" w:rsidR="000E2DB9" w:rsidRDefault="000E2DB9" w:rsidP="00153E70">
      <w:pPr>
        <w:pStyle w:val="Default"/>
        <w:jc w:val="both"/>
        <w:rPr>
          <w:color w:val="auto"/>
          <w:sz w:val="23"/>
          <w:szCs w:val="23"/>
        </w:rPr>
      </w:pPr>
    </w:p>
    <w:p w14:paraId="7B0063AC" w14:textId="34C489D2" w:rsidR="00153E70" w:rsidRDefault="000E2DB9" w:rsidP="00153E70">
      <w:pPr>
        <w:pStyle w:val="Default"/>
        <w:jc w:val="both"/>
        <w:rPr>
          <w:color w:val="auto"/>
          <w:sz w:val="23"/>
          <w:szCs w:val="23"/>
        </w:rPr>
      </w:pPr>
      <w:r>
        <w:rPr>
          <w:color w:val="auto"/>
          <w:sz w:val="23"/>
          <w:szCs w:val="23"/>
        </w:rPr>
        <w:t>E</w:t>
      </w:r>
      <w:r w:rsidRPr="000E2DB9">
        <w:rPr>
          <w:color w:val="auto"/>
          <w:sz w:val="23"/>
          <w:szCs w:val="23"/>
        </w:rPr>
        <w:t>l Observatorio</w:t>
      </w:r>
      <w:r>
        <w:rPr>
          <w:color w:val="auto"/>
          <w:sz w:val="23"/>
          <w:szCs w:val="23"/>
        </w:rPr>
        <w:t xml:space="preserve"> también</w:t>
      </w:r>
      <w:r w:rsidRPr="000E2DB9">
        <w:rPr>
          <w:color w:val="auto"/>
          <w:sz w:val="23"/>
          <w:szCs w:val="23"/>
        </w:rPr>
        <w:t xml:space="preserve"> cuenta con un Grupo de Trabajo, conformado por instancias públicas, académicas, organizaciones de la sociedad civil, representaciones de los partidos políticos y especialistas independientes.</w:t>
      </w:r>
    </w:p>
    <w:p w14:paraId="2F8C1671" w14:textId="77777777" w:rsidR="000E2DB9" w:rsidRPr="00153E70" w:rsidRDefault="000E2DB9" w:rsidP="00153E70">
      <w:pPr>
        <w:pStyle w:val="Default"/>
        <w:jc w:val="both"/>
        <w:rPr>
          <w:color w:val="auto"/>
          <w:sz w:val="23"/>
          <w:szCs w:val="23"/>
        </w:rPr>
      </w:pPr>
    </w:p>
    <w:p w14:paraId="11BA52CE" w14:textId="2131F881" w:rsidR="00F40032" w:rsidRPr="00153E70" w:rsidRDefault="000E2DB9" w:rsidP="00153E70">
      <w:pPr>
        <w:pStyle w:val="Default"/>
        <w:jc w:val="both"/>
        <w:rPr>
          <w:color w:val="auto"/>
          <w:sz w:val="16"/>
          <w:szCs w:val="16"/>
        </w:rPr>
      </w:pPr>
      <w:r>
        <w:rPr>
          <w:color w:val="auto"/>
          <w:sz w:val="23"/>
          <w:szCs w:val="23"/>
        </w:rPr>
        <w:t xml:space="preserve">Con el objeto de hacer operativo el Observatorio y procurar el cumplimiento de sus fines, </w:t>
      </w:r>
      <w:r w:rsidR="00F40032" w:rsidRPr="00153E70">
        <w:rPr>
          <w:color w:val="auto"/>
          <w:sz w:val="23"/>
          <w:szCs w:val="23"/>
        </w:rPr>
        <w:t>se presenta el Programa de Trabajo 202</w:t>
      </w:r>
      <w:r>
        <w:rPr>
          <w:color w:val="auto"/>
          <w:sz w:val="23"/>
          <w:szCs w:val="23"/>
        </w:rPr>
        <w:t>2</w:t>
      </w:r>
      <w:r w:rsidR="00F40032" w:rsidRPr="00153E70">
        <w:rPr>
          <w:color w:val="auto"/>
          <w:sz w:val="23"/>
          <w:szCs w:val="23"/>
        </w:rPr>
        <w:t>-202</w:t>
      </w:r>
      <w:r>
        <w:rPr>
          <w:color w:val="auto"/>
          <w:sz w:val="23"/>
          <w:szCs w:val="23"/>
        </w:rPr>
        <w:t>3.</w:t>
      </w:r>
      <w:r w:rsidR="00F40032" w:rsidRPr="00153E70">
        <w:rPr>
          <w:color w:val="auto"/>
          <w:sz w:val="23"/>
          <w:szCs w:val="23"/>
        </w:rPr>
        <w:t xml:space="preserve"> </w:t>
      </w:r>
    </w:p>
    <w:p w14:paraId="340758DE" w14:textId="77777777" w:rsidR="00F40032" w:rsidRPr="00153E70" w:rsidRDefault="00F40032" w:rsidP="00F40032">
      <w:pPr>
        <w:pStyle w:val="Default"/>
        <w:rPr>
          <w:color w:val="auto"/>
        </w:rPr>
      </w:pPr>
    </w:p>
    <w:p w14:paraId="18E900B0" w14:textId="77777777" w:rsidR="00F40032" w:rsidRPr="00153E70" w:rsidRDefault="00F40032" w:rsidP="00F40032">
      <w:pPr>
        <w:pStyle w:val="Default"/>
        <w:pageBreakBefore/>
        <w:rPr>
          <w:color w:val="auto"/>
        </w:rPr>
      </w:pPr>
    </w:p>
    <w:p w14:paraId="3DCC10B7" w14:textId="5356B9B9" w:rsidR="00F40032" w:rsidRPr="00153E70" w:rsidRDefault="00F40032" w:rsidP="00F40032">
      <w:pPr>
        <w:pStyle w:val="Default"/>
        <w:rPr>
          <w:color w:val="auto"/>
          <w:sz w:val="32"/>
          <w:szCs w:val="32"/>
        </w:rPr>
      </w:pPr>
      <w:r w:rsidRPr="00153E70">
        <w:rPr>
          <w:b/>
          <w:bCs/>
          <w:color w:val="auto"/>
          <w:sz w:val="32"/>
          <w:szCs w:val="32"/>
        </w:rPr>
        <w:t xml:space="preserve">2. </w:t>
      </w:r>
      <w:r w:rsidR="000E2DB9">
        <w:rPr>
          <w:b/>
          <w:bCs/>
          <w:color w:val="auto"/>
          <w:sz w:val="32"/>
          <w:szCs w:val="32"/>
        </w:rPr>
        <w:t xml:space="preserve">OBJETIVOS </w:t>
      </w:r>
      <w:r w:rsidRPr="00153E70">
        <w:rPr>
          <w:b/>
          <w:bCs/>
          <w:color w:val="auto"/>
          <w:sz w:val="32"/>
          <w:szCs w:val="32"/>
        </w:rPr>
        <w:t xml:space="preserve"> </w:t>
      </w:r>
    </w:p>
    <w:p w14:paraId="58AA1FD6" w14:textId="77777777" w:rsidR="00F40032" w:rsidRPr="00153E70" w:rsidRDefault="00F40032" w:rsidP="00F40032">
      <w:pPr>
        <w:pStyle w:val="Default"/>
        <w:rPr>
          <w:color w:val="auto"/>
          <w:sz w:val="32"/>
          <w:szCs w:val="32"/>
        </w:rPr>
      </w:pPr>
    </w:p>
    <w:p w14:paraId="1194290A" w14:textId="77777777" w:rsidR="00F40032" w:rsidRPr="00153E70" w:rsidRDefault="00F40032" w:rsidP="00F40032">
      <w:pPr>
        <w:pStyle w:val="Default"/>
        <w:rPr>
          <w:color w:val="auto"/>
          <w:sz w:val="28"/>
          <w:szCs w:val="28"/>
        </w:rPr>
      </w:pPr>
      <w:r w:rsidRPr="00153E70">
        <w:rPr>
          <w:b/>
          <w:bCs/>
          <w:color w:val="auto"/>
          <w:sz w:val="28"/>
          <w:szCs w:val="28"/>
        </w:rPr>
        <w:t xml:space="preserve">2.1 OBJETIVO GENERAL </w:t>
      </w:r>
    </w:p>
    <w:p w14:paraId="7BF7255E" w14:textId="77777777" w:rsidR="00F40032" w:rsidRPr="00153E70" w:rsidRDefault="00F40032" w:rsidP="00F40032">
      <w:pPr>
        <w:pStyle w:val="Default"/>
        <w:rPr>
          <w:color w:val="auto"/>
          <w:sz w:val="28"/>
          <w:szCs w:val="28"/>
        </w:rPr>
      </w:pPr>
    </w:p>
    <w:p w14:paraId="72AD9EBE" w14:textId="045805A7" w:rsidR="00F40032" w:rsidRDefault="000E2DB9" w:rsidP="000E2DB9">
      <w:pPr>
        <w:pStyle w:val="Default"/>
        <w:jc w:val="both"/>
        <w:rPr>
          <w:color w:val="auto"/>
          <w:sz w:val="23"/>
          <w:szCs w:val="23"/>
        </w:rPr>
      </w:pPr>
      <w:r>
        <w:rPr>
          <w:color w:val="auto"/>
          <w:sz w:val="23"/>
          <w:szCs w:val="23"/>
        </w:rPr>
        <w:t>C</w:t>
      </w:r>
      <w:r w:rsidRPr="000E2DB9">
        <w:rPr>
          <w:color w:val="auto"/>
          <w:sz w:val="23"/>
          <w:szCs w:val="23"/>
        </w:rPr>
        <w:t>oordinar acciones encaminadas a promover la</w:t>
      </w:r>
      <w:r>
        <w:rPr>
          <w:color w:val="auto"/>
          <w:sz w:val="23"/>
          <w:szCs w:val="23"/>
        </w:rPr>
        <w:t xml:space="preserve"> </w:t>
      </w:r>
      <w:r w:rsidRPr="000E2DB9">
        <w:rPr>
          <w:color w:val="auto"/>
          <w:sz w:val="23"/>
          <w:szCs w:val="23"/>
        </w:rPr>
        <w:t>participación de las mujeres en espacios de toma de decisiones en el ámbito público en</w:t>
      </w:r>
      <w:r>
        <w:rPr>
          <w:color w:val="auto"/>
          <w:sz w:val="23"/>
          <w:szCs w:val="23"/>
        </w:rPr>
        <w:t xml:space="preserve"> San Luis Potosí, </w:t>
      </w:r>
      <w:r w:rsidRPr="000E2DB9">
        <w:rPr>
          <w:color w:val="auto"/>
          <w:sz w:val="23"/>
          <w:szCs w:val="23"/>
        </w:rPr>
        <w:t>con la finalidad de lograr sinergias que cierren las brechas de género desde un</w:t>
      </w:r>
      <w:r>
        <w:rPr>
          <w:color w:val="auto"/>
          <w:sz w:val="23"/>
          <w:szCs w:val="23"/>
        </w:rPr>
        <w:t xml:space="preserve"> </w:t>
      </w:r>
      <w:r w:rsidRPr="000E2DB9">
        <w:rPr>
          <w:color w:val="auto"/>
          <w:sz w:val="23"/>
          <w:szCs w:val="23"/>
        </w:rPr>
        <w:t xml:space="preserve">enfoque de igualdad sustantiva entre mujeres y hombres. </w:t>
      </w:r>
    </w:p>
    <w:p w14:paraId="2D0120E7" w14:textId="77777777" w:rsidR="000E2DB9" w:rsidRPr="00153E70" w:rsidRDefault="000E2DB9" w:rsidP="000E2DB9">
      <w:pPr>
        <w:pStyle w:val="Default"/>
        <w:jc w:val="both"/>
        <w:rPr>
          <w:b/>
          <w:bCs/>
          <w:color w:val="auto"/>
          <w:sz w:val="28"/>
          <w:szCs w:val="28"/>
        </w:rPr>
      </w:pPr>
    </w:p>
    <w:p w14:paraId="5F365D94" w14:textId="5C959CCF" w:rsidR="00F40032" w:rsidRPr="00153E70" w:rsidRDefault="00F40032" w:rsidP="00153E70">
      <w:pPr>
        <w:pStyle w:val="Default"/>
        <w:jc w:val="both"/>
        <w:rPr>
          <w:color w:val="auto"/>
          <w:sz w:val="28"/>
          <w:szCs w:val="28"/>
        </w:rPr>
      </w:pPr>
      <w:r w:rsidRPr="00153E70">
        <w:rPr>
          <w:b/>
          <w:bCs/>
          <w:color w:val="auto"/>
          <w:sz w:val="28"/>
          <w:szCs w:val="28"/>
        </w:rPr>
        <w:t xml:space="preserve">2.2 OBJETIVOS ESPECÍFICOS </w:t>
      </w:r>
    </w:p>
    <w:p w14:paraId="43B0E7E8" w14:textId="77777777" w:rsidR="00F40032" w:rsidRPr="00153E70" w:rsidRDefault="00F40032" w:rsidP="00153E70">
      <w:pPr>
        <w:pStyle w:val="Default"/>
        <w:jc w:val="both"/>
        <w:rPr>
          <w:color w:val="auto"/>
          <w:sz w:val="28"/>
          <w:szCs w:val="28"/>
        </w:rPr>
      </w:pPr>
    </w:p>
    <w:p w14:paraId="74BD93C2" w14:textId="6E888BAE" w:rsidR="00F40032" w:rsidRPr="00153E70" w:rsidRDefault="00F40032" w:rsidP="00153E70">
      <w:pPr>
        <w:pStyle w:val="Default"/>
        <w:numPr>
          <w:ilvl w:val="0"/>
          <w:numId w:val="6"/>
        </w:numPr>
        <w:jc w:val="both"/>
        <w:rPr>
          <w:color w:val="auto"/>
          <w:sz w:val="23"/>
          <w:szCs w:val="23"/>
        </w:rPr>
      </w:pPr>
      <w:r w:rsidRPr="00153E70">
        <w:rPr>
          <w:color w:val="auto"/>
          <w:sz w:val="23"/>
          <w:szCs w:val="23"/>
        </w:rPr>
        <w:t xml:space="preserve">Promover la cultura de la no violencia en el marco del ejercicio de los derechos políticos y electorales de las mujeres. </w:t>
      </w:r>
    </w:p>
    <w:p w14:paraId="27DA6992" w14:textId="77777777" w:rsidR="00F40032" w:rsidRPr="00153E70" w:rsidRDefault="00F40032" w:rsidP="00153E70">
      <w:pPr>
        <w:pStyle w:val="Default"/>
        <w:jc w:val="both"/>
        <w:rPr>
          <w:color w:val="auto"/>
          <w:sz w:val="23"/>
          <w:szCs w:val="23"/>
        </w:rPr>
      </w:pPr>
    </w:p>
    <w:p w14:paraId="264B18A3" w14:textId="14845949" w:rsidR="000E2DB9" w:rsidRDefault="000E2DB9" w:rsidP="000E2DB9">
      <w:pPr>
        <w:pStyle w:val="Default"/>
        <w:numPr>
          <w:ilvl w:val="0"/>
          <w:numId w:val="6"/>
        </w:numPr>
        <w:jc w:val="both"/>
        <w:rPr>
          <w:color w:val="auto"/>
          <w:sz w:val="23"/>
          <w:szCs w:val="23"/>
        </w:rPr>
      </w:pPr>
      <w:r w:rsidRPr="000E2DB9">
        <w:rPr>
          <w:color w:val="auto"/>
          <w:sz w:val="23"/>
          <w:szCs w:val="23"/>
        </w:rPr>
        <w:t>Prevenir en un esfuerzo conjunto, la violencia política por razón de género</w:t>
      </w:r>
      <w:r>
        <w:rPr>
          <w:color w:val="auto"/>
          <w:sz w:val="23"/>
          <w:szCs w:val="23"/>
        </w:rPr>
        <w:t xml:space="preserve"> a partir de la orientación y canalización de denuncias ante las instancias conducentes.</w:t>
      </w:r>
    </w:p>
    <w:p w14:paraId="4CD868CC" w14:textId="77777777" w:rsidR="000E2DB9" w:rsidRPr="000E2DB9" w:rsidRDefault="000E2DB9" w:rsidP="000E2DB9">
      <w:pPr>
        <w:pStyle w:val="Default"/>
        <w:ind w:left="1080"/>
        <w:jc w:val="both"/>
        <w:rPr>
          <w:color w:val="auto"/>
          <w:sz w:val="23"/>
          <w:szCs w:val="23"/>
        </w:rPr>
      </w:pPr>
    </w:p>
    <w:p w14:paraId="7F19D629" w14:textId="2BE26623" w:rsidR="000E2DB9" w:rsidRPr="000E2DB9" w:rsidRDefault="000E2DB9" w:rsidP="000E2DB9">
      <w:pPr>
        <w:pStyle w:val="Default"/>
        <w:numPr>
          <w:ilvl w:val="0"/>
          <w:numId w:val="6"/>
        </w:numPr>
        <w:jc w:val="both"/>
        <w:rPr>
          <w:color w:val="auto"/>
          <w:sz w:val="23"/>
          <w:szCs w:val="23"/>
        </w:rPr>
      </w:pPr>
      <w:r w:rsidRPr="000E2DB9">
        <w:rPr>
          <w:color w:val="auto"/>
          <w:sz w:val="23"/>
          <w:szCs w:val="23"/>
        </w:rPr>
        <w:t xml:space="preserve">Fomentar la capacitación de </w:t>
      </w:r>
      <w:r>
        <w:rPr>
          <w:color w:val="auto"/>
          <w:sz w:val="23"/>
          <w:szCs w:val="23"/>
        </w:rPr>
        <w:t xml:space="preserve">las </w:t>
      </w:r>
      <w:r w:rsidRPr="000E2DB9">
        <w:rPr>
          <w:color w:val="auto"/>
          <w:sz w:val="23"/>
          <w:szCs w:val="23"/>
        </w:rPr>
        <w:t>mujeres, para reforzar sus habilidades y liderazgos.</w:t>
      </w:r>
    </w:p>
    <w:p w14:paraId="51DDFB6A" w14:textId="77777777" w:rsidR="000E2DB9" w:rsidRDefault="000E2DB9" w:rsidP="000E2DB9">
      <w:pPr>
        <w:pStyle w:val="Default"/>
        <w:ind w:left="1080"/>
        <w:jc w:val="both"/>
        <w:rPr>
          <w:color w:val="auto"/>
          <w:sz w:val="23"/>
          <w:szCs w:val="23"/>
        </w:rPr>
      </w:pPr>
    </w:p>
    <w:p w14:paraId="5C51D308" w14:textId="77777777" w:rsidR="00F40032" w:rsidRPr="00153E70" w:rsidRDefault="00F40032" w:rsidP="00153E70">
      <w:pPr>
        <w:pStyle w:val="Default"/>
        <w:jc w:val="both"/>
        <w:rPr>
          <w:color w:val="auto"/>
          <w:sz w:val="23"/>
          <w:szCs w:val="23"/>
        </w:rPr>
      </w:pPr>
    </w:p>
    <w:p w14:paraId="6440E31A" w14:textId="41926A5E" w:rsidR="00F40032" w:rsidRPr="00153E70" w:rsidRDefault="00F40032" w:rsidP="000E2DB9">
      <w:pPr>
        <w:pStyle w:val="Default"/>
        <w:jc w:val="both"/>
        <w:rPr>
          <w:b/>
          <w:bCs/>
          <w:color w:val="auto"/>
          <w:sz w:val="32"/>
          <w:szCs w:val="32"/>
        </w:rPr>
      </w:pPr>
      <w:r w:rsidRPr="00153E70">
        <w:rPr>
          <w:b/>
          <w:bCs/>
          <w:color w:val="auto"/>
          <w:sz w:val="28"/>
          <w:szCs w:val="28"/>
        </w:rPr>
        <w:t>3</w:t>
      </w:r>
      <w:r w:rsidR="000E2DB9">
        <w:rPr>
          <w:b/>
          <w:bCs/>
          <w:color w:val="auto"/>
          <w:sz w:val="28"/>
          <w:szCs w:val="28"/>
        </w:rPr>
        <w:t>.</w:t>
      </w:r>
      <w:r w:rsidRPr="00153E70">
        <w:rPr>
          <w:b/>
          <w:bCs/>
          <w:color w:val="auto"/>
          <w:sz w:val="28"/>
          <w:szCs w:val="28"/>
        </w:rPr>
        <w:t xml:space="preserve"> </w:t>
      </w:r>
      <w:r w:rsidRPr="00153E70">
        <w:rPr>
          <w:b/>
          <w:bCs/>
          <w:color w:val="auto"/>
          <w:sz w:val="32"/>
          <w:szCs w:val="32"/>
        </w:rPr>
        <w:t>LÍNEAS DE ACCIÓN</w:t>
      </w:r>
      <w:r w:rsidR="000E2DB9">
        <w:rPr>
          <w:b/>
          <w:bCs/>
          <w:color w:val="auto"/>
          <w:sz w:val="32"/>
          <w:szCs w:val="32"/>
        </w:rPr>
        <w:t>, ACTIVIDADES</w:t>
      </w:r>
      <w:r w:rsidRPr="00153E70">
        <w:rPr>
          <w:b/>
          <w:bCs/>
          <w:color w:val="auto"/>
          <w:sz w:val="32"/>
          <w:szCs w:val="32"/>
        </w:rPr>
        <w:t xml:space="preserve"> Y RESPONSABILIDADES </w:t>
      </w:r>
    </w:p>
    <w:p w14:paraId="088147C9" w14:textId="62ABB060" w:rsidR="00F40032" w:rsidRPr="00153E70" w:rsidRDefault="00F40032" w:rsidP="00F40032">
      <w:pPr>
        <w:pStyle w:val="Default"/>
        <w:rPr>
          <w:b/>
          <w:bCs/>
          <w:color w:val="auto"/>
          <w:sz w:val="32"/>
          <w:szCs w:val="32"/>
        </w:rPr>
      </w:pPr>
    </w:p>
    <w:p w14:paraId="570F3D1A" w14:textId="77777777" w:rsidR="000E2DB9" w:rsidRDefault="000E2DB9" w:rsidP="000E2DB9">
      <w:pPr>
        <w:pStyle w:val="Default"/>
        <w:jc w:val="both"/>
        <w:rPr>
          <w:color w:val="auto"/>
          <w:sz w:val="23"/>
          <w:szCs w:val="23"/>
        </w:rPr>
      </w:pPr>
      <w:r w:rsidRPr="000E2DB9">
        <w:rPr>
          <w:color w:val="auto"/>
          <w:sz w:val="23"/>
          <w:szCs w:val="23"/>
        </w:rPr>
        <w:t>Para el logro de los objetivos establecidos por el Observatorio</w:t>
      </w:r>
      <w:r>
        <w:rPr>
          <w:color w:val="auto"/>
          <w:sz w:val="23"/>
          <w:szCs w:val="23"/>
        </w:rPr>
        <w:t xml:space="preserve"> </w:t>
      </w:r>
      <w:r w:rsidRPr="000E2DB9">
        <w:rPr>
          <w:color w:val="auto"/>
          <w:sz w:val="23"/>
          <w:szCs w:val="23"/>
        </w:rPr>
        <w:t xml:space="preserve">de Participación Política de las Mujeres en </w:t>
      </w:r>
      <w:r>
        <w:rPr>
          <w:color w:val="auto"/>
          <w:sz w:val="23"/>
          <w:szCs w:val="23"/>
        </w:rPr>
        <w:t>San Luis Potosí</w:t>
      </w:r>
      <w:r w:rsidRPr="000E2DB9">
        <w:rPr>
          <w:color w:val="auto"/>
          <w:sz w:val="23"/>
          <w:szCs w:val="23"/>
        </w:rPr>
        <w:t>, es necesario</w:t>
      </w:r>
      <w:r>
        <w:rPr>
          <w:color w:val="auto"/>
          <w:sz w:val="23"/>
          <w:szCs w:val="23"/>
        </w:rPr>
        <w:t xml:space="preserve"> </w:t>
      </w:r>
      <w:r w:rsidRPr="000E2DB9">
        <w:rPr>
          <w:color w:val="auto"/>
          <w:sz w:val="23"/>
          <w:szCs w:val="23"/>
        </w:rPr>
        <w:t>que l</w:t>
      </w:r>
      <w:r>
        <w:rPr>
          <w:color w:val="auto"/>
          <w:sz w:val="23"/>
          <w:szCs w:val="23"/>
        </w:rPr>
        <w:t>os integrantes permanentes y el grupo de trabajo, realicemos las siguientes acciones:</w:t>
      </w:r>
    </w:p>
    <w:p w14:paraId="79ADFC28" w14:textId="77777777" w:rsidR="000E2DB9" w:rsidRPr="00153E70" w:rsidRDefault="000E2DB9" w:rsidP="000E2DB9">
      <w:pPr>
        <w:pStyle w:val="Default"/>
        <w:rPr>
          <w:b/>
          <w:bCs/>
          <w:color w:val="auto"/>
          <w:sz w:val="32"/>
          <w:szCs w:val="32"/>
        </w:rPr>
      </w:pPr>
    </w:p>
    <w:tbl>
      <w:tblPr>
        <w:tblStyle w:val="Tablaconcuadrcula"/>
        <w:tblW w:w="8885" w:type="dxa"/>
        <w:tblLayout w:type="fixed"/>
        <w:tblLook w:val="0000" w:firstRow="0" w:lastRow="0" w:firstColumn="0" w:lastColumn="0" w:noHBand="0" w:noVBand="0"/>
      </w:tblPr>
      <w:tblGrid>
        <w:gridCol w:w="2144"/>
        <w:gridCol w:w="2299"/>
        <w:gridCol w:w="2221"/>
        <w:gridCol w:w="2221"/>
      </w:tblGrid>
      <w:tr w:rsidR="00992157" w:rsidRPr="00153E70" w14:paraId="77E8F7C1" w14:textId="77777777" w:rsidTr="00992157">
        <w:trPr>
          <w:trHeight w:val="103"/>
        </w:trPr>
        <w:tc>
          <w:tcPr>
            <w:tcW w:w="2144" w:type="dxa"/>
            <w:shd w:val="clear" w:color="auto" w:fill="E7E6E6" w:themeFill="background2"/>
          </w:tcPr>
          <w:p w14:paraId="783FD82A" w14:textId="77777777" w:rsidR="00F40032" w:rsidRPr="00B1422C" w:rsidRDefault="00F40032">
            <w:pPr>
              <w:pStyle w:val="Default"/>
              <w:rPr>
                <w:sz w:val="20"/>
                <w:szCs w:val="20"/>
              </w:rPr>
            </w:pPr>
            <w:r w:rsidRPr="00B1422C">
              <w:rPr>
                <w:b/>
                <w:bCs/>
                <w:sz w:val="20"/>
                <w:szCs w:val="20"/>
              </w:rPr>
              <w:t xml:space="preserve">Objetivo Específico </w:t>
            </w:r>
          </w:p>
        </w:tc>
        <w:tc>
          <w:tcPr>
            <w:tcW w:w="2299" w:type="dxa"/>
            <w:shd w:val="clear" w:color="auto" w:fill="E7E6E6" w:themeFill="background2"/>
          </w:tcPr>
          <w:p w14:paraId="4454B214" w14:textId="77777777" w:rsidR="00F40032" w:rsidRPr="00B1422C" w:rsidRDefault="00F40032">
            <w:pPr>
              <w:pStyle w:val="Default"/>
              <w:rPr>
                <w:sz w:val="20"/>
                <w:szCs w:val="20"/>
              </w:rPr>
            </w:pPr>
            <w:r w:rsidRPr="00B1422C">
              <w:rPr>
                <w:b/>
                <w:bCs/>
                <w:sz w:val="20"/>
                <w:szCs w:val="20"/>
              </w:rPr>
              <w:t xml:space="preserve">Línea de Acción </w:t>
            </w:r>
          </w:p>
        </w:tc>
        <w:tc>
          <w:tcPr>
            <w:tcW w:w="2221" w:type="dxa"/>
            <w:shd w:val="clear" w:color="auto" w:fill="E7E6E6" w:themeFill="background2"/>
          </w:tcPr>
          <w:p w14:paraId="0040759F" w14:textId="77777777" w:rsidR="00F40032" w:rsidRPr="00B1422C" w:rsidRDefault="00F40032">
            <w:pPr>
              <w:pStyle w:val="Default"/>
              <w:rPr>
                <w:sz w:val="20"/>
                <w:szCs w:val="20"/>
              </w:rPr>
            </w:pPr>
            <w:r w:rsidRPr="00B1422C">
              <w:rPr>
                <w:b/>
                <w:bCs/>
                <w:sz w:val="20"/>
                <w:szCs w:val="20"/>
              </w:rPr>
              <w:t xml:space="preserve">Actividad </w:t>
            </w:r>
          </w:p>
        </w:tc>
        <w:tc>
          <w:tcPr>
            <w:tcW w:w="2221" w:type="dxa"/>
            <w:shd w:val="clear" w:color="auto" w:fill="E7E6E6" w:themeFill="background2"/>
          </w:tcPr>
          <w:p w14:paraId="43ED0BC2" w14:textId="77777777" w:rsidR="00F40032" w:rsidRPr="00B1422C" w:rsidRDefault="00F40032">
            <w:pPr>
              <w:pStyle w:val="Default"/>
              <w:rPr>
                <w:sz w:val="20"/>
                <w:szCs w:val="20"/>
              </w:rPr>
            </w:pPr>
            <w:r w:rsidRPr="00B1422C">
              <w:rPr>
                <w:b/>
                <w:bCs/>
                <w:sz w:val="20"/>
                <w:szCs w:val="20"/>
              </w:rPr>
              <w:t xml:space="preserve">Responsabilidad </w:t>
            </w:r>
          </w:p>
        </w:tc>
      </w:tr>
      <w:tr w:rsidR="00F40032" w:rsidRPr="00153E70" w14:paraId="59CC344F" w14:textId="77777777" w:rsidTr="00992157">
        <w:trPr>
          <w:trHeight w:val="672"/>
        </w:trPr>
        <w:tc>
          <w:tcPr>
            <w:tcW w:w="2144" w:type="dxa"/>
          </w:tcPr>
          <w:p w14:paraId="3F758D04" w14:textId="7C16F36C" w:rsidR="00F40032" w:rsidRPr="00CD12B6" w:rsidRDefault="000E2DB9">
            <w:pPr>
              <w:pStyle w:val="Default"/>
              <w:rPr>
                <w:sz w:val="20"/>
                <w:szCs w:val="20"/>
              </w:rPr>
            </w:pPr>
            <w:r w:rsidRPr="00CD12B6">
              <w:rPr>
                <w:color w:val="auto"/>
                <w:sz w:val="20"/>
                <w:szCs w:val="20"/>
              </w:rPr>
              <w:t>Promover la cultura de la no violencia en el marco del ejercicio de los derechos políticos y electorales de las mujeres</w:t>
            </w:r>
            <w:r w:rsidR="00DE5657" w:rsidRPr="00CD12B6">
              <w:rPr>
                <w:sz w:val="20"/>
                <w:szCs w:val="20"/>
              </w:rPr>
              <w:t>.</w:t>
            </w:r>
          </w:p>
        </w:tc>
        <w:tc>
          <w:tcPr>
            <w:tcW w:w="2299" w:type="dxa"/>
          </w:tcPr>
          <w:p w14:paraId="32F2DD0D" w14:textId="2C47CA64" w:rsidR="00DE5657" w:rsidRPr="00CD12B6" w:rsidRDefault="000E2DB9">
            <w:pPr>
              <w:pStyle w:val="Default"/>
              <w:rPr>
                <w:sz w:val="20"/>
                <w:szCs w:val="20"/>
              </w:rPr>
            </w:pPr>
            <w:r w:rsidRPr="00CD12B6">
              <w:rPr>
                <w:sz w:val="20"/>
                <w:szCs w:val="20"/>
              </w:rPr>
              <w:t xml:space="preserve">Generar estrategias de prevención y atención a casos de violencia política contra las mujeres </w:t>
            </w:r>
            <w:r w:rsidR="00DE5657" w:rsidRPr="00CD12B6">
              <w:rPr>
                <w:sz w:val="20"/>
                <w:szCs w:val="20"/>
              </w:rPr>
              <w:t>previo al inicio del proceso electoral 2022-2023.</w:t>
            </w:r>
          </w:p>
          <w:p w14:paraId="1BAFAD7E" w14:textId="2C93D31A" w:rsidR="00F40032" w:rsidRPr="00CD12B6" w:rsidRDefault="00F40032">
            <w:pPr>
              <w:pStyle w:val="Default"/>
              <w:rPr>
                <w:sz w:val="20"/>
                <w:szCs w:val="20"/>
              </w:rPr>
            </w:pPr>
          </w:p>
        </w:tc>
        <w:tc>
          <w:tcPr>
            <w:tcW w:w="2221" w:type="dxa"/>
          </w:tcPr>
          <w:p w14:paraId="76F1283B" w14:textId="7ACFB908" w:rsidR="00F40032" w:rsidRDefault="00787DAA">
            <w:pPr>
              <w:pStyle w:val="Default"/>
              <w:rPr>
                <w:sz w:val="20"/>
                <w:szCs w:val="20"/>
              </w:rPr>
            </w:pPr>
            <w:r>
              <w:rPr>
                <w:sz w:val="20"/>
                <w:szCs w:val="20"/>
              </w:rPr>
              <w:t xml:space="preserve">1. </w:t>
            </w:r>
            <w:r w:rsidR="00DE5657" w:rsidRPr="00CD12B6">
              <w:rPr>
                <w:sz w:val="20"/>
                <w:szCs w:val="20"/>
              </w:rPr>
              <w:t>Seguimiento a los grupos de trabajo.</w:t>
            </w:r>
          </w:p>
          <w:p w14:paraId="76C1EEBF" w14:textId="77777777" w:rsidR="0074310C" w:rsidRDefault="0074310C">
            <w:pPr>
              <w:pStyle w:val="Default"/>
              <w:rPr>
                <w:sz w:val="20"/>
                <w:szCs w:val="20"/>
              </w:rPr>
            </w:pPr>
          </w:p>
          <w:p w14:paraId="3D9F88D9" w14:textId="13F0DCB6" w:rsidR="0074310C" w:rsidRPr="00CD12B6" w:rsidRDefault="00787DAA" w:rsidP="0074310C">
            <w:pPr>
              <w:pStyle w:val="Default"/>
              <w:rPr>
                <w:sz w:val="20"/>
                <w:szCs w:val="20"/>
              </w:rPr>
            </w:pPr>
            <w:r>
              <w:rPr>
                <w:sz w:val="20"/>
                <w:szCs w:val="20"/>
              </w:rPr>
              <w:t xml:space="preserve">2. </w:t>
            </w:r>
            <w:r w:rsidR="0074310C">
              <w:rPr>
                <w:sz w:val="20"/>
                <w:szCs w:val="20"/>
              </w:rPr>
              <w:t xml:space="preserve">Realizar dentro del marco de competencia del OPPMSLP, acciones para visibilizar </w:t>
            </w:r>
            <w:r w:rsidR="0074310C" w:rsidRPr="0074310C">
              <w:rPr>
                <w:sz w:val="20"/>
                <w:szCs w:val="20"/>
              </w:rPr>
              <w:t>y difu</w:t>
            </w:r>
            <w:r w:rsidR="0074310C">
              <w:rPr>
                <w:sz w:val="20"/>
                <w:szCs w:val="20"/>
              </w:rPr>
              <w:t xml:space="preserve">ndir </w:t>
            </w:r>
            <w:r w:rsidR="0074310C" w:rsidRPr="0074310C">
              <w:rPr>
                <w:sz w:val="20"/>
                <w:szCs w:val="20"/>
              </w:rPr>
              <w:t>los derechos político</w:t>
            </w:r>
            <w:r w:rsidR="0074310C">
              <w:rPr>
                <w:sz w:val="20"/>
                <w:szCs w:val="20"/>
              </w:rPr>
              <w:t>-</w:t>
            </w:r>
            <w:r w:rsidR="0074310C" w:rsidRPr="0074310C">
              <w:rPr>
                <w:sz w:val="20"/>
                <w:szCs w:val="20"/>
              </w:rPr>
              <w:t>electorales de las mujeres.</w:t>
            </w:r>
          </w:p>
        </w:tc>
        <w:tc>
          <w:tcPr>
            <w:tcW w:w="2221" w:type="dxa"/>
          </w:tcPr>
          <w:p w14:paraId="2C51D103" w14:textId="34784862" w:rsidR="005D1442" w:rsidRPr="00CD12B6" w:rsidRDefault="00DE5657">
            <w:pPr>
              <w:pStyle w:val="Default"/>
              <w:rPr>
                <w:sz w:val="20"/>
                <w:szCs w:val="20"/>
              </w:rPr>
            </w:pPr>
            <w:r w:rsidRPr="00CD12B6">
              <w:rPr>
                <w:sz w:val="20"/>
                <w:szCs w:val="20"/>
              </w:rPr>
              <w:t>TEESLP</w:t>
            </w:r>
            <w:r w:rsidR="00CD12B6">
              <w:rPr>
                <w:sz w:val="20"/>
                <w:szCs w:val="20"/>
              </w:rPr>
              <w:t>,</w:t>
            </w:r>
            <w:r w:rsidRPr="00CD12B6">
              <w:rPr>
                <w:sz w:val="20"/>
                <w:szCs w:val="20"/>
              </w:rPr>
              <w:t xml:space="preserve"> CEEPAC</w:t>
            </w:r>
            <w:r w:rsidR="00CD12B6">
              <w:rPr>
                <w:sz w:val="20"/>
                <w:szCs w:val="20"/>
              </w:rPr>
              <w:t>, IMES y FEPADE</w:t>
            </w:r>
            <w:r w:rsidRPr="00CD12B6">
              <w:rPr>
                <w:sz w:val="20"/>
                <w:szCs w:val="20"/>
              </w:rPr>
              <w:t xml:space="preserve"> en cuanto al apoyo, asesoría, seguimiento y acompañamiento en el ámbito de las facultades de las instituciones.</w:t>
            </w:r>
          </w:p>
        </w:tc>
      </w:tr>
      <w:tr w:rsidR="00F40032" w:rsidRPr="00153E70" w14:paraId="62B3AD74" w14:textId="77777777" w:rsidTr="00992157">
        <w:trPr>
          <w:trHeight w:val="672"/>
        </w:trPr>
        <w:tc>
          <w:tcPr>
            <w:tcW w:w="2144" w:type="dxa"/>
          </w:tcPr>
          <w:p w14:paraId="398CA64E" w14:textId="07B4BA39" w:rsidR="00F40032" w:rsidRPr="00B1422C" w:rsidRDefault="0074310C">
            <w:pPr>
              <w:pStyle w:val="Default"/>
              <w:rPr>
                <w:sz w:val="20"/>
                <w:szCs w:val="20"/>
              </w:rPr>
            </w:pPr>
            <w:r w:rsidRPr="0074310C">
              <w:rPr>
                <w:sz w:val="20"/>
                <w:szCs w:val="20"/>
              </w:rPr>
              <w:t>Prevenir en un esfuerzo conjunto, la violencia política por razón de género a partir de la orientación y canalización de denuncias ante las instancias conducentes.</w:t>
            </w:r>
          </w:p>
        </w:tc>
        <w:tc>
          <w:tcPr>
            <w:tcW w:w="2299" w:type="dxa"/>
          </w:tcPr>
          <w:p w14:paraId="63D4CCB6" w14:textId="2C212211" w:rsidR="00F40032" w:rsidRPr="00B1422C" w:rsidRDefault="008C7A6A">
            <w:pPr>
              <w:pStyle w:val="Default"/>
              <w:rPr>
                <w:sz w:val="20"/>
                <w:szCs w:val="20"/>
              </w:rPr>
            </w:pPr>
            <w:r>
              <w:rPr>
                <w:sz w:val="20"/>
                <w:szCs w:val="20"/>
              </w:rPr>
              <w:t>Brindar</w:t>
            </w:r>
            <w:r w:rsidR="00787DAA">
              <w:rPr>
                <w:sz w:val="20"/>
                <w:szCs w:val="20"/>
              </w:rPr>
              <w:t xml:space="preserve"> la información necesaria a </w:t>
            </w:r>
            <w:r>
              <w:rPr>
                <w:sz w:val="20"/>
                <w:szCs w:val="20"/>
              </w:rPr>
              <w:t xml:space="preserve">las mujeres que consideren haber sido </w:t>
            </w:r>
            <w:r w:rsidR="000300B8">
              <w:rPr>
                <w:sz w:val="20"/>
                <w:szCs w:val="20"/>
              </w:rPr>
              <w:t>víctimas</w:t>
            </w:r>
            <w:r>
              <w:rPr>
                <w:sz w:val="20"/>
                <w:szCs w:val="20"/>
              </w:rPr>
              <w:t xml:space="preserve"> de VPG a efecto de que puedan ser atendidas de manera correcta ante la autoridad </w:t>
            </w:r>
            <w:r w:rsidR="00787DAA">
              <w:rPr>
                <w:sz w:val="20"/>
                <w:szCs w:val="20"/>
              </w:rPr>
              <w:t>competente.</w:t>
            </w:r>
          </w:p>
        </w:tc>
        <w:tc>
          <w:tcPr>
            <w:tcW w:w="2221" w:type="dxa"/>
          </w:tcPr>
          <w:p w14:paraId="3B3526D9" w14:textId="6C6A0E49" w:rsidR="00787DAA" w:rsidRPr="00787DAA" w:rsidRDefault="00787DAA" w:rsidP="00787DAA">
            <w:pPr>
              <w:pStyle w:val="Default"/>
              <w:rPr>
                <w:sz w:val="20"/>
                <w:szCs w:val="20"/>
              </w:rPr>
            </w:pPr>
            <w:r>
              <w:rPr>
                <w:sz w:val="20"/>
                <w:szCs w:val="20"/>
              </w:rPr>
              <w:t xml:space="preserve">1. </w:t>
            </w:r>
            <w:r w:rsidR="000300B8">
              <w:rPr>
                <w:sz w:val="20"/>
                <w:szCs w:val="20"/>
              </w:rPr>
              <w:t xml:space="preserve">Canalizar los </w:t>
            </w:r>
            <w:r w:rsidRPr="00787DAA">
              <w:rPr>
                <w:sz w:val="20"/>
                <w:szCs w:val="20"/>
              </w:rPr>
              <w:t>casos de violencia política en razón de género</w:t>
            </w:r>
            <w:r w:rsidR="000300B8">
              <w:rPr>
                <w:sz w:val="20"/>
                <w:szCs w:val="20"/>
              </w:rPr>
              <w:t xml:space="preserve"> a las instancias correspondientes</w:t>
            </w:r>
            <w:r>
              <w:rPr>
                <w:sz w:val="20"/>
                <w:szCs w:val="20"/>
              </w:rPr>
              <w:t>.</w:t>
            </w:r>
          </w:p>
          <w:p w14:paraId="01202316" w14:textId="0E24B7DA" w:rsidR="00787DAA" w:rsidRPr="00787DAA" w:rsidRDefault="00787DAA" w:rsidP="00787DAA">
            <w:pPr>
              <w:pStyle w:val="Default"/>
              <w:rPr>
                <w:sz w:val="20"/>
                <w:szCs w:val="20"/>
              </w:rPr>
            </w:pPr>
            <w:r>
              <w:rPr>
                <w:sz w:val="20"/>
                <w:szCs w:val="20"/>
              </w:rPr>
              <w:t>2</w:t>
            </w:r>
            <w:r w:rsidRPr="00787DAA">
              <w:rPr>
                <w:sz w:val="20"/>
                <w:szCs w:val="20"/>
              </w:rPr>
              <w:t>. Conocer de los procedimientos presentados ante las instancias competentes, participantes en el Observatorio sobre violencia política por razón de género</w:t>
            </w:r>
            <w:r w:rsidR="000300B8">
              <w:rPr>
                <w:sz w:val="20"/>
                <w:szCs w:val="20"/>
              </w:rPr>
              <w:t>.</w:t>
            </w:r>
          </w:p>
          <w:p w14:paraId="75BE3BCE" w14:textId="42AA3778" w:rsidR="00F40032" w:rsidRPr="00B1422C" w:rsidRDefault="00787DAA" w:rsidP="00787DAA">
            <w:pPr>
              <w:pStyle w:val="Default"/>
              <w:rPr>
                <w:sz w:val="20"/>
                <w:szCs w:val="20"/>
              </w:rPr>
            </w:pPr>
            <w:r>
              <w:rPr>
                <w:sz w:val="20"/>
                <w:szCs w:val="20"/>
              </w:rPr>
              <w:t xml:space="preserve">3. Revisión y en su caso, actualización </w:t>
            </w:r>
            <w:r w:rsidRPr="00787DAA">
              <w:rPr>
                <w:sz w:val="20"/>
                <w:szCs w:val="20"/>
              </w:rPr>
              <w:t xml:space="preserve">de la ruta de atención para las mujeres víctimas de violencia política contra las mujeres en razón de género, </w:t>
            </w:r>
            <w:r>
              <w:rPr>
                <w:sz w:val="20"/>
                <w:szCs w:val="20"/>
              </w:rPr>
              <w:t>para su difusión correspondiente.</w:t>
            </w:r>
          </w:p>
        </w:tc>
        <w:tc>
          <w:tcPr>
            <w:tcW w:w="2221" w:type="dxa"/>
          </w:tcPr>
          <w:p w14:paraId="71930592" w14:textId="77777777" w:rsidR="001C27BB" w:rsidRPr="001C27BB" w:rsidRDefault="000300B8" w:rsidP="001C27BB">
            <w:pPr>
              <w:pStyle w:val="Default"/>
              <w:rPr>
                <w:sz w:val="20"/>
                <w:szCs w:val="20"/>
              </w:rPr>
            </w:pPr>
            <w:r w:rsidRPr="00CD12B6">
              <w:rPr>
                <w:sz w:val="20"/>
                <w:szCs w:val="20"/>
              </w:rPr>
              <w:t>TEESLP</w:t>
            </w:r>
            <w:r>
              <w:rPr>
                <w:sz w:val="20"/>
                <w:szCs w:val="20"/>
              </w:rPr>
              <w:t>,</w:t>
            </w:r>
            <w:r w:rsidRPr="00CD12B6">
              <w:rPr>
                <w:sz w:val="20"/>
                <w:szCs w:val="20"/>
              </w:rPr>
              <w:t xml:space="preserve"> CEEPAC</w:t>
            </w:r>
            <w:r>
              <w:rPr>
                <w:sz w:val="20"/>
                <w:szCs w:val="20"/>
              </w:rPr>
              <w:t>, IMES y FEPADE</w:t>
            </w:r>
            <w:r w:rsidR="001C27BB">
              <w:rPr>
                <w:sz w:val="20"/>
                <w:szCs w:val="20"/>
              </w:rPr>
              <w:t xml:space="preserve"> </w:t>
            </w:r>
            <w:r w:rsidR="001C27BB" w:rsidRPr="001C27BB">
              <w:rPr>
                <w:sz w:val="20"/>
                <w:szCs w:val="20"/>
              </w:rPr>
              <w:t>e</w:t>
            </w:r>
          </w:p>
          <w:p w14:paraId="3049A32F" w14:textId="77777777" w:rsidR="001C27BB" w:rsidRPr="001C27BB" w:rsidRDefault="001C27BB" w:rsidP="001C27BB">
            <w:pPr>
              <w:pStyle w:val="Default"/>
              <w:rPr>
                <w:sz w:val="20"/>
                <w:szCs w:val="20"/>
              </w:rPr>
            </w:pPr>
            <w:r w:rsidRPr="001C27BB">
              <w:rPr>
                <w:sz w:val="20"/>
                <w:szCs w:val="20"/>
              </w:rPr>
              <w:t>integrantes del</w:t>
            </w:r>
          </w:p>
          <w:p w14:paraId="1E0937F0" w14:textId="719A01D5" w:rsidR="00F40032" w:rsidRPr="00B1422C" w:rsidRDefault="001C27BB" w:rsidP="001C27BB">
            <w:pPr>
              <w:pStyle w:val="Default"/>
              <w:rPr>
                <w:sz w:val="20"/>
                <w:szCs w:val="20"/>
              </w:rPr>
            </w:pPr>
            <w:r w:rsidRPr="001C27BB">
              <w:rPr>
                <w:sz w:val="20"/>
                <w:szCs w:val="20"/>
              </w:rPr>
              <w:t>OPPMSLP</w:t>
            </w:r>
            <w:r>
              <w:rPr>
                <w:sz w:val="20"/>
                <w:szCs w:val="20"/>
              </w:rPr>
              <w:t>.</w:t>
            </w:r>
          </w:p>
        </w:tc>
      </w:tr>
      <w:tr w:rsidR="005D1442" w:rsidRPr="00153E70" w14:paraId="074D3E27" w14:textId="77777777" w:rsidTr="00992157">
        <w:trPr>
          <w:trHeight w:val="672"/>
        </w:trPr>
        <w:tc>
          <w:tcPr>
            <w:tcW w:w="2144" w:type="dxa"/>
          </w:tcPr>
          <w:p w14:paraId="5B644AC1" w14:textId="7F7E6537" w:rsidR="005D1442" w:rsidRPr="00B1422C" w:rsidRDefault="00787DAA">
            <w:pPr>
              <w:pStyle w:val="Default"/>
              <w:rPr>
                <w:sz w:val="20"/>
                <w:szCs w:val="20"/>
              </w:rPr>
            </w:pPr>
            <w:r w:rsidRPr="00787DAA">
              <w:rPr>
                <w:sz w:val="20"/>
                <w:szCs w:val="20"/>
              </w:rPr>
              <w:t>Fomentar la capacitación de las mujeres, para reforzar sus habilidades y liderazgos.</w:t>
            </w:r>
          </w:p>
        </w:tc>
        <w:tc>
          <w:tcPr>
            <w:tcW w:w="2299" w:type="dxa"/>
          </w:tcPr>
          <w:p w14:paraId="3194B7C3" w14:textId="473E068E" w:rsidR="005D1442" w:rsidRPr="00B1422C" w:rsidRDefault="00787DAA" w:rsidP="000300B8">
            <w:pPr>
              <w:pStyle w:val="Default"/>
              <w:rPr>
                <w:sz w:val="20"/>
                <w:szCs w:val="20"/>
              </w:rPr>
            </w:pPr>
            <w:r w:rsidRPr="00B1422C">
              <w:rPr>
                <w:sz w:val="20"/>
                <w:szCs w:val="20"/>
              </w:rPr>
              <w:t>Implementar programas de capacitación en cuanto a</w:t>
            </w:r>
            <w:r>
              <w:rPr>
                <w:sz w:val="20"/>
                <w:szCs w:val="20"/>
              </w:rPr>
              <w:t xml:space="preserve"> las infracciones y </w:t>
            </w:r>
            <w:r w:rsidRPr="00B1422C">
              <w:rPr>
                <w:sz w:val="20"/>
                <w:szCs w:val="20"/>
              </w:rPr>
              <w:t>delito de VPG, con el efecto de</w:t>
            </w:r>
            <w:r>
              <w:rPr>
                <w:sz w:val="20"/>
                <w:szCs w:val="20"/>
              </w:rPr>
              <w:t xml:space="preserve"> las mujeres puedan tener </w:t>
            </w:r>
            <w:r w:rsidR="00E86FB9">
              <w:rPr>
                <w:sz w:val="20"/>
                <w:szCs w:val="20"/>
              </w:rPr>
              <w:t>herramientas para hacer frente a los casos de VPG</w:t>
            </w:r>
            <w:r w:rsidR="000300B8">
              <w:rPr>
                <w:sz w:val="20"/>
                <w:szCs w:val="20"/>
              </w:rPr>
              <w:t>.</w:t>
            </w:r>
          </w:p>
        </w:tc>
        <w:tc>
          <w:tcPr>
            <w:tcW w:w="2221" w:type="dxa"/>
          </w:tcPr>
          <w:p w14:paraId="315A9207" w14:textId="2AB52FDF" w:rsidR="005D1442" w:rsidRPr="00B1422C" w:rsidRDefault="00E86FB9" w:rsidP="005D1442">
            <w:pPr>
              <w:pStyle w:val="Default"/>
              <w:rPr>
                <w:sz w:val="20"/>
                <w:szCs w:val="20"/>
              </w:rPr>
            </w:pPr>
            <w:r w:rsidRPr="00E86FB9">
              <w:rPr>
                <w:sz w:val="20"/>
                <w:szCs w:val="20"/>
              </w:rPr>
              <w:t>Implementar cursos, talleres y acciones para mujeres electas y funcionarias públicas en materia de prevención, atención y sanción de VPG.</w:t>
            </w:r>
          </w:p>
        </w:tc>
        <w:tc>
          <w:tcPr>
            <w:tcW w:w="2221" w:type="dxa"/>
          </w:tcPr>
          <w:p w14:paraId="7FCAF700" w14:textId="77777777" w:rsidR="001C27BB" w:rsidRPr="001C27BB" w:rsidRDefault="001C27BB" w:rsidP="001C27BB">
            <w:pPr>
              <w:pStyle w:val="Default"/>
              <w:rPr>
                <w:sz w:val="20"/>
                <w:szCs w:val="20"/>
              </w:rPr>
            </w:pPr>
            <w:r w:rsidRPr="00CD12B6">
              <w:rPr>
                <w:sz w:val="20"/>
                <w:szCs w:val="20"/>
              </w:rPr>
              <w:t>TEESLP</w:t>
            </w:r>
            <w:r>
              <w:rPr>
                <w:sz w:val="20"/>
                <w:szCs w:val="20"/>
              </w:rPr>
              <w:t>,</w:t>
            </w:r>
            <w:r w:rsidRPr="00CD12B6">
              <w:rPr>
                <w:sz w:val="20"/>
                <w:szCs w:val="20"/>
              </w:rPr>
              <w:t xml:space="preserve"> CEEPAC</w:t>
            </w:r>
            <w:r>
              <w:rPr>
                <w:sz w:val="20"/>
                <w:szCs w:val="20"/>
              </w:rPr>
              <w:t xml:space="preserve">, IMES y FEPADE </w:t>
            </w:r>
            <w:r w:rsidRPr="001C27BB">
              <w:rPr>
                <w:sz w:val="20"/>
                <w:szCs w:val="20"/>
              </w:rPr>
              <w:t>e</w:t>
            </w:r>
          </w:p>
          <w:p w14:paraId="2872C073" w14:textId="77777777" w:rsidR="001C27BB" w:rsidRPr="001C27BB" w:rsidRDefault="001C27BB" w:rsidP="001C27BB">
            <w:pPr>
              <w:pStyle w:val="Default"/>
              <w:rPr>
                <w:sz w:val="20"/>
                <w:szCs w:val="20"/>
              </w:rPr>
            </w:pPr>
            <w:r w:rsidRPr="001C27BB">
              <w:rPr>
                <w:sz w:val="20"/>
                <w:szCs w:val="20"/>
              </w:rPr>
              <w:t>integrantes del</w:t>
            </w:r>
          </w:p>
          <w:p w14:paraId="7AA0D661" w14:textId="53ABDBB3" w:rsidR="005D1442" w:rsidRPr="00B1422C" w:rsidRDefault="001C27BB" w:rsidP="001C27BB">
            <w:pPr>
              <w:pStyle w:val="Default"/>
              <w:rPr>
                <w:sz w:val="20"/>
                <w:szCs w:val="20"/>
              </w:rPr>
            </w:pPr>
            <w:r w:rsidRPr="001C27BB">
              <w:rPr>
                <w:sz w:val="20"/>
                <w:szCs w:val="20"/>
              </w:rPr>
              <w:t>OPPMSLP</w:t>
            </w:r>
            <w:r>
              <w:rPr>
                <w:sz w:val="20"/>
                <w:szCs w:val="20"/>
              </w:rPr>
              <w:t>.</w:t>
            </w:r>
          </w:p>
        </w:tc>
      </w:tr>
    </w:tbl>
    <w:p w14:paraId="6CAED1DD" w14:textId="77777777" w:rsidR="001F4531" w:rsidRPr="00153E70" w:rsidRDefault="001F4531" w:rsidP="001F4531">
      <w:pPr>
        <w:pStyle w:val="Default"/>
      </w:pPr>
    </w:p>
    <w:p w14:paraId="09B60246" w14:textId="77777777" w:rsidR="001F4531" w:rsidRPr="00153E70" w:rsidRDefault="001F4531" w:rsidP="001F4531">
      <w:pPr>
        <w:pStyle w:val="Default"/>
        <w:rPr>
          <w:sz w:val="32"/>
          <w:szCs w:val="32"/>
        </w:rPr>
      </w:pPr>
      <w:r w:rsidRPr="00153E70">
        <w:rPr>
          <w:b/>
          <w:bCs/>
          <w:sz w:val="32"/>
          <w:szCs w:val="32"/>
        </w:rPr>
        <w:t xml:space="preserve">4. CALENDARIO DE SESIONES </w:t>
      </w:r>
    </w:p>
    <w:p w14:paraId="5C4D69A3" w14:textId="77777777" w:rsidR="00B1422C" w:rsidRDefault="00B1422C" w:rsidP="001F4531">
      <w:pPr>
        <w:pStyle w:val="Default"/>
        <w:rPr>
          <w:sz w:val="23"/>
          <w:szCs w:val="23"/>
        </w:rPr>
      </w:pPr>
    </w:p>
    <w:p w14:paraId="2681FBFE" w14:textId="723B860D" w:rsidR="001F4531" w:rsidRDefault="00E86FB9" w:rsidP="00E86FB9">
      <w:pPr>
        <w:pStyle w:val="Default"/>
        <w:jc w:val="both"/>
        <w:rPr>
          <w:sz w:val="23"/>
          <w:szCs w:val="23"/>
        </w:rPr>
      </w:pPr>
      <w:r w:rsidRPr="00E86FB9">
        <w:rPr>
          <w:sz w:val="23"/>
          <w:szCs w:val="23"/>
        </w:rPr>
        <w:t xml:space="preserve">El grupo de trabajo del Observatorio sesionará de manera ordinaria al menos una vez </w:t>
      </w:r>
      <w:r w:rsidR="000300B8">
        <w:rPr>
          <w:sz w:val="23"/>
          <w:szCs w:val="23"/>
        </w:rPr>
        <w:t>trimestral</w:t>
      </w:r>
      <w:r w:rsidRPr="00E86FB9">
        <w:rPr>
          <w:sz w:val="23"/>
          <w:szCs w:val="23"/>
        </w:rPr>
        <w:t>mente como se</w:t>
      </w:r>
      <w:r>
        <w:rPr>
          <w:sz w:val="23"/>
          <w:szCs w:val="23"/>
        </w:rPr>
        <w:t xml:space="preserve"> </w:t>
      </w:r>
      <w:r w:rsidRPr="00E86FB9">
        <w:rPr>
          <w:sz w:val="23"/>
          <w:szCs w:val="23"/>
        </w:rPr>
        <w:t>muestra en el siguiente cuadro</w:t>
      </w:r>
      <w:r>
        <w:rPr>
          <w:sz w:val="23"/>
          <w:szCs w:val="23"/>
        </w:rPr>
        <w:t>:</w:t>
      </w:r>
    </w:p>
    <w:p w14:paraId="6164DD2D" w14:textId="77777777" w:rsidR="00E86FB9" w:rsidRPr="00153E70" w:rsidRDefault="00E86FB9" w:rsidP="00B1422C">
      <w:pPr>
        <w:pStyle w:val="Default"/>
        <w:jc w:val="both"/>
        <w:rPr>
          <w:sz w:val="23"/>
          <w:szCs w:val="23"/>
        </w:rPr>
      </w:pPr>
    </w:p>
    <w:p w14:paraId="78AC2D05" w14:textId="77777777" w:rsidR="00B1422C" w:rsidRPr="00153E70" w:rsidRDefault="00B1422C" w:rsidP="00B1422C">
      <w:pPr>
        <w:jc w:val="both"/>
        <w:rPr>
          <w:rFonts w:ascii="Arial" w:hAnsi="Arial" w:cs="Arial"/>
          <w:sz w:val="23"/>
          <w:szCs w:val="23"/>
        </w:rPr>
      </w:pPr>
    </w:p>
    <w:tbl>
      <w:tblPr>
        <w:tblStyle w:val="Tablaconcuadrcula"/>
        <w:tblW w:w="8926" w:type="dxa"/>
        <w:tblLayout w:type="fixed"/>
        <w:tblLook w:val="0000" w:firstRow="0" w:lastRow="0" w:firstColumn="0" w:lastColumn="0" w:noHBand="0" w:noVBand="0"/>
      </w:tblPr>
      <w:tblGrid>
        <w:gridCol w:w="4957"/>
        <w:gridCol w:w="3969"/>
      </w:tblGrid>
      <w:tr w:rsidR="001F4531" w:rsidRPr="00153E70" w14:paraId="673BC719" w14:textId="77777777" w:rsidTr="00B1422C">
        <w:trPr>
          <w:trHeight w:val="112"/>
        </w:trPr>
        <w:tc>
          <w:tcPr>
            <w:tcW w:w="4957" w:type="dxa"/>
            <w:shd w:val="clear" w:color="auto" w:fill="E7E6E6" w:themeFill="background2"/>
          </w:tcPr>
          <w:p w14:paraId="5CF88B53" w14:textId="45F3F950" w:rsidR="001F4531" w:rsidRPr="00153E70" w:rsidRDefault="001F4531" w:rsidP="00217C53">
            <w:pPr>
              <w:pStyle w:val="Default"/>
              <w:jc w:val="center"/>
              <w:rPr>
                <w:sz w:val="23"/>
                <w:szCs w:val="23"/>
              </w:rPr>
            </w:pPr>
            <w:r w:rsidRPr="00153E70">
              <w:rPr>
                <w:b/>
                <w:bCs/>
                <w:sz w:val="23"/>
                <w:szCs w:val="23"/>
              </w:rPr>
              <w:t>Sesiones Ordinarias</w:t>
            </w:r>
          </w:p>
        </w:tc>
        <w:tc>
          <w:tcPr>
            <w:tcW w:w="3969" w:type="dxa"/>
            <w:shd w:val="clear" w:color="auto" w:fill="E7E6E6" w:themeFill="background2"/>
          </w:tcPr>
          <w:p w14:paraId="4605CAA4" w14:textId="3BB05232" w:rsidR="001F4531" w:rsidRPr="00153E70" w:rsidRDefault="001F4531" w:rsidP="00217C53">
            <w:pPr>
              <w:pStyle w:val="Default"/>
              <w:jc w:val="center"/>
              <w:rPr>
                <w:sz w:val="23"/>
                <w:szCs w:val="23"/>
              </w:rPr>
            </w:pPr>
            <w:r w:rsidRPr="00153E70">
              <w:rPr>
                <w:b/>
                <w:bCs/>
                <w:sz w:val="23"/>
                <w:szCs w:val="23"/>
              </w:rPr>
              <w:t>Fecha</w:t>
            </w:r>
          </w:p>
        </w:tc>
      </w:tr>
      <w:tr w:rsidR="001F4531" w:rsidRPr="00153E70" w14:paraId="1F7E1A56" w14:textId="77777777" w:rsidTr="00B1422C">
        <w:trPr>
          <w:trHeight w:val="112"/>
        </w:trPr>
        <w:tc>
          <w:tcPr>
            <w:tcW w:w="4957" w:type="dxa"/>
          </w:tcPr>
          <w:p w14:paraId="7B51FBE5" w14:textId="77777777" w:rsidR="001F4531" w:rsidRPr="00153E70" w:rsidRDefault="001F4531">
            <w:pPr>
              <w:pStyle w:val="Default"/>
              <w:rPr>
                <w:sz w:val="23"/>
                <w:szCs w:val="23"/>
              </w:rPr>
            </w:pPr>
            <w:r w:rsidRPr="00153E70">
              <w:rPr>
                <w:sz w:val="23"/>
                <w:szCs w:val="23"/>
              </w:rPr>
              <w:t xml:space="preserve">Sesión Ordinaria primer trimestre </w:t>
            </w:r>
          </w:p>
        </w:tc>
        <w:tc>
          <w:tcPr>
            <w:tcW w:w="3969" w:type="dxa"/>
          </w:tcPr>
          <w:p w14:paraId="13397D06" w14:textId="6E62517E" w:rsidR="001F4531" w:rsidRPr="00153E70" w:rsidRDefault="00863FF1">
            <w:pPr>
              <w:pStyle w:val="Default"/>
              <w:rPr>
                <w:sz w:val="23"/>
                <w:szCs w:val="23"/>
              </w:rPr>
            </w:pPr>
            <w:r>
              <w:rPr>
                <w:sz w:val="23"/>
                <w:szCs w:val="23"/>
              </w:rPr>
              <w:t>27</w:t>
            </w:r>
            <w:r w:rsidR="001F4531" w:rsidRPr="00153E70">
              <w:rPr>
                <w:sz w:val="23"/>
                <w:szCs w:val="23"/>
              </w:rPr>
              <w:t xml:space="preserve"> de </w:t>
            </w:r>
            <w:r w:rsidR="00E86FB9">
              <w:rPr>
                <w:sz w:val="23"/>
                <w:szCs w:val="23"/>
              </w:rPr>
              <w:t>enero</w:t>
            </w:r>
            <w:r w:rsidR="001F4531" w:rsidRPr="00153E70">
              <w:rPr>
                <w:sz w:val="23"/>
                <w:szCs w:val="23"/>
              </w:rPr>
              <w:t xml:space="preserve"> de 202</w:t>
            </w:r>
            <w:r w:rsidR="00E86FB9">
              <w:rPr>
                <w:sz w:val="23"/>
                <w:szCs w:val="23"/>
              </w:rPr>
              <w:t>3</w:t>
            </w:r>
          </w:p>
        </w:tc>
      </w:tr>
      <w:tr w:rsidR="001F4531" w:rsidRPr="00153E70" w14:paraId="086188F6" w14:textId="77777777" w:rsidTr="00B1422C">
        <w:trPr>
          <w:trHeight w:val="112"/>
        </w:trPr>
        <w:tc>
          <w:tcPr>
            <w:tcW w:w="4957" w:type="dxa"/>
          </w:tcPr>
          <w:p w14:paraId="43C50FD6" w14:textId="77777777" w:rsidR="001F4531" w:rsidRPr="00153E70" w:rsidRDefault="001F4531">
            <w:pPr>
              <w:pStyle w:val="Default"/>
              <w:rPr>
                <w:sz w:val="23"/>
                <w:szCs w:val="23"/>
              </w:rPr>
            </w:pPr>
            <w:r w:rsidRPr="00153E70">
              <w:rPr>
                <w:sz w:val="23"/>
                <w:szCs w:val="23"/>
              </w:rPr>
              <w:t xml:space="preserve">Sesión Ordinaria segundo trimestre </w:t>
            </w:r>
          </w:p>
        </w:tc>
        <w:tc>
          <w:tcPr>
            <w:tcW w:w="3969" w:type="dxa"/>
          </w:tcPr>
          <w:p w14:paraId="79FD603A" w14:textId="51B5BBE9" w:rsidR="001F4531" w:rsidRPr="00153E70" w:rsidRDefault="00863FF1">
            <w:pPr>
              <w:pStyle w:val="Default"/>
              <w:rPr>
                <w:sz w:val="23"/>
                <w:szCs w:val="23"/>
              </w:rPr>
            </w:pPr>
            <w:r>
              <w:rPr>
                <w:sz w:val="23"/>
                <w:szCs w:val="23"/>
              </w:rPr>
              <w:t>A</w:t>
            </w:r>
            <w:r w:rsidR="00E86FB9">
              <w:rPr>
                <w:sz w:val="23"/>
                <w:szCs w:val="23"/>
              </w:rPr>
              <w:t>bril</w:t>
            </w:r>
            <w:r w:rsidR="001F4531" w:rsidRPr="00153E70">
              <w:rPr>
                <w:sz w:val="23"/>
                <w:szCs w:val="23"/>
              </w:rPr>
              <w:t xml:space="preserve"> de 202</w:t>
            </w:r>
            <w:r w:rsidR="00E86FB9">
              <w:rPr>
                <w:sz w:val="23"/>
                <w:szCs w:val="23"/>
              </w:rPr>
              <w:t>3</w:t>
            </w:r>
          </w:p>
        </w:tc>
      </w:tr>
      <w:tr w:rsidR="001F4531" w:rsidRPr="00153E70" w14:paraId="502EFB76" w14:textId="77777777" w:rsidTr="00B1422C">
        <w:trPr>
          <w:trHeight w:val="112"/>
        </w:trPr>
        <w:tc>
          <w:tcPr>
            <w:tcW w:w="4957" w:type="dxa"/>
          </w:tcPr>
          <w:p w14:paraId="20CFEA75" w14:textId="77777777" w:rsidR="001F4531" w:rsidRPr="00153E70" w:rsidRDefault="001F4531">
            <w:pPr>
              <w:pStyle w:val="Default"/>
              <w:rPr>
                <w:sz w:val="23"/>
                <w:szCs w:val="23"/>
              </w:rPr>
            </w:pPr>
            <w:r w:rsidRPr="00153E70">
              <w:rPr>
                <w:sz w:val="23"/>
                <w:szCs w:val="23"/>
              </w:rPr>
              <w:t xml:space="preserve">Sesión Ordinaria tercero trimestre </w:t>
            </w:r>
          </w:p>
        </w:tc>
        <w:tc>
          <w:tcPr>
            <w:tcW w:w="3969" w:type="dxa"/>
          </w:tcPr>
          <w:p w14:paraId="636260F8" w14:textId="1041AAD7" w:rsidR="001F4531" w:rsidRPr="00153E70" w:rsidRDefault="00863FF1">
            <w:pPr>
              <w:pStyle w:val="Default"/>
              <w:rPr>
                <w:sz w:val="23"/>
                <w:szCs w:val="23"/>
              </w:rPr>
            </w:pPr>
            <w:r>
              <w:rPr>
                <w:sz w:val="23"/>
                <w:szCs w:val="23"/>
              </w:rPr>
              <w:t>J</w:t>
            </w:r>
            <w:r w:rsidR="00E86FB9">
              <w:rPr>
                <w:sz w:val="23"/>
                <w:szCs w:val="23"/>
              </w:rPr>
              <w:t>ulio</w:t>
            </w:r>
            <w:r w:rsidR="001F4531" w:rsidRPr="00153E70">
              <w:rPr>
                <w:sz w:val="23"/>
                <w:szCs w:val="23"/>
              </w:rPr>
              <w:t xml:space="preserve"> de 202</w:t>
            </w:r>
            <w:r w:rsidR="00E86FB9">
              <w:rPr>
                <w:sz w:val="23"/>
                <w:szCs w:val="23"/>
              </w:rPr>
              <w:t>3</w:t>
            </w:r>
            <w:r w:rsidR="001F4531" w:rsidRPr="00153E70">
              <w:rPr>
                <w:sz w:val="23"/>
                <w:szCs w:val="23"/>
              </w:rPr>
              <w:t xml:space="preserve"> </w:t>
            </w:r>
          </w:p>
        </w:tc>
      </w:tr>
      <w:tr w:rsidR="001F4531" w:rsidRPr="00153E70" w14:paraId="26C1C6F0" w14:textId="77777777" w:rsidTr="00B1422C">
        <w:trPr>
          <w:trHeight w:val="112"/>
        </w:trPr>
        <w:tc>
          <w:tcPr>
            <w:tcW w:w="4957" w:type="dxa"/>
          </w:tcPr>
          <w:p w14:paraId="3571B0E4" w14:textId="77777777" w:rsidR="001F4531" w:rsidRPr="00153E70" w:rsidRDefault="001F4531">
            <w:pPr>
              <w:pStyle w:val="Default"/>
              <w:rPr>
                <w:sz w:val="23"/>
                <w:szCs w:val="23"/>
              </w:rPr>
            </w:pPr>
            <w:r w:rsidRPr="00153E70">
              <w:rPr>
                <w:sz w:val="23"/>
                <w:szCs w:val="23"/>
              </w:rPr>
              <w:t xml:space="preserve">Sesión Ordinaria cuarto trimestre </w:t>
            </w:r>
          </w:p>
        </w:tc>
        <w:tc>
          <w:tcPr>
            <w:tcW w:w="3969" w:type="dxa"/>
          </w:tcPr>
          <w:p w14:paraId="659BD831" w14:textId="43863E85" w:rsidR="001F4531" w:rsidRPr="00153E70" w:rsidRDefault="00863FF1">
            <w:pPr>
              <w:pStyle w:val="Default"/>
              <w:rPr>
                <w:sz w:val="23"/>
                <w:szCs w:val="23"/>
              </w:rPr>
            </w:pPr>
            <w:r>
              <w:rPr>
                <w:sz w:val="23"/>
                <w:szCs w:val="23"/>
              </w:rPr>
              <w:t>O</w:t>
            </w:r>
            <w:r w:rsidR="001F4531" w:rsidRPr="00153E70">
              <w:rPr>
                <w:sz w:val="23"/>
                <w:szCs w:val="23"/>
              </w:rPr>
              <w:t>ctubre de 202</w:t>
            </w:r>
            <w:r w:rsidR="00E86FB9">
              <w:rPr>
                <w:sz w:val="23"/>
                <w:szCs w:val="23"/>
              </w:rPr>
              <w:t>3</w:t>
            </w:r>
            <w:r w:rsidR="001F4531" w:rsidRPr="00153E70">
              <w:rPr>
                <w:sz w:val="23"/>
                <w:szCs w:val="23"/>
              </w:rPr>
              <w:t xml:space="preserve"> </w:t>
            </w:r>
          </w:p>
        </w:tc>
      </w:tr>
    </w:tbl>
    <w:p w14:paraId="78E86474" w14:textId="70382B15" w:rsidR="001F4531" w:rsidRPr="00153E70" w:rsidRDefault="001F4531" w:rsidP="001F4531">
      <w:pPr>
        <w:rPr>
          <w:rFonts w:ascii="Arial" w:hAnsi="Arial" w:cs="Arial"/>
        </w:rPr>
      </w:pPr>
    </w:p>
    <w:p w14:paraId="7B347C2A" w14:textId="1662A7D1" w:rsidR="001F4531" w:rsidRPr="00153E70" w:rsidRDefault="001F4531" w:rsidP="000300B8">
      <w:pPr>
        <w:jc w:val="both"/>
        <w:rPr>
          <w:rFonts w:ascii="Arial" w:hAnsi="Arial" w:cs="Arial"/>
        </w:rPr>
      </w:pPr>
      <w:r w:rsidRPr="00153E70">
        <w:rPr>
          <w:rFonts w:ascii="Arial" w:hAnsi="Arial" w:cs="Arial"/>
          <w:sz w:val="23"/>
          <w:szCs w:val="23"/>
        </w:rPr>
        <w:t>La programación de la fecha específica de cada sesión ordinaria estará sujeta a la agenda institucional, así como la disponibilidad de personas titulares de las instituciones que integran el Grupo de Trabajo del Observatorio, sin óbice de las sesiones extraordinarias adicionales que deban celebrarse para atender temas específicos.</w:t>
      </w:r>
    </w:p>
    <w:sectPr w:rsidR="001F4531" w:rsidRPr="00153E7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8EFF" w14:textId="77777777" w:rsidR="007E193B" w:rsidRDefault="007E193B" w:rsidP="00F40032">
      <w:pPr>
        <w:spacing w:after="0" w:line="240" w:lineRule="auto"/>
      </w:pPr>
      <w:r>
        <w:separator/>
      </w:r>
    </w:p>
  </w:endnote>
  <w:endnote w:type="continuationSeparator" w:id="0">
    <w:p w14:paraId="3E544E04" w14:textId="77777777" w:rsidR="007E193B" w:rsidRDefault="007E193B" w:rsidP="00F4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628125335"/>
      <w:docPartObj>
        <w:docPartGallery w:val="Page Numbers (Bottom of Page)"/>
        <w:docPartUnique/>
      </w:docPartObj>
    </w:sdtPr>
    <w:sdtContent>
      <w:p w14:paraId="71072432" w14:textId="5BDA789E" w:rsidR="00F40032" w:rsidRDefault="00F40032">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2CEEFA79" w14:textId="77777777" w:rsidR="00F40032" w:rsidRDefault="00F400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25C4" w14:textId="77777777" w:rsidR="007E193B" w:rsidRDefault="007E193B" w:rsidP="00F40032">
      <w:pPr>
        <w:spacing w:after="0" w:line="240" w:lineRule="auto"/>
      </w:pPr>
      <w:r>
        <w:separator/>
      </w:r>
    </w:p>
  </w:footnote>
  <w:footnote w:type="continuationSeparator" w:id="0">
    <w:p w14:paraId="3729C574" w14:textId="77777777" w:rsidR="007E193B" w:rsidRDefault="007E193B" w:rsidP="00F4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0DE1" w14:textId="34FD26C2" w:rsidR="00F40032" w:rsidRDefault="00F40032" w:rsidP="00F40032">
    <w:pPr>
      <w:pStyle w:val="Default"/>
      <w:jc w:val="right"/>
      <w:rPr>
        <w:sz w:val="16"/>
        <w:szCs w:val="16"/>
      </w:rPr>
    </w:pPr>
    <w:r>
      <w:rPr>
        <w:noProof/>
      </w:rPr>
      <w:drawing>
        <wp:anchor distT="0" distB="0" distL="114300" distR="114300" simplePos="0" relativeHeight="251658240" behindDoc="0" locked="0" layoutInCell="1" allowOverlap="1" wp14:anchorId="6B415DBE" wp14:editId="023DC4EC">
          <wp:simplePos x="0" y="0"/>
          <wp:positionH relativeFrom="column">
            <wp:posOffset>-627518</wp:posOffset>
          </wp:positionH>
          <wp:positionV relativeFrom="paragraph">
            <wp:posOffset>-322829</wp:posOffset>
          </wp:positionV>
          <wp:extent cx="1033670" cy="695658"/>
          <wp:effectExtent l="0" t="0" r="0" b="0"/>
          <wp:wrapSquare wrapText="bothSides"/>
          <wp:docPr id="1"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670" cy="6956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032">
      <w:rPr>
        <w:sz w:val="16"/>
        <w:szCs w:val="16"/>
      </w:rPr>
      <w:t xml:space="preserve"> </w:t>
    </w:r>
    <w:r>
      <w:rPr>
        <w:sz w:val="16"/>
        <w:szCs w:val="16"/>
      </w:rPr>
      <w:t>Programa Anual de Trabajo 202</w:t>
    </w:r>
    <w:r w:rsidR="006360E3">
      <w:rPr>
        <w:sz w:val="16"/>
        <w:szCs w:val="16"/>
      </w:rPr>
      <w:t>2</w:t>
    </w:r>
    <w:r>
      <w:rPr>
        <w:sz w:val="16"/>
        <w:szCs w:val="16"/>
      </w:rPr>
      <w:t>-202</w:t>
    </w:r>
    <w:r w:rsidR="006360E3">
      <w:rPr>
        <w:sz w:val="16"/>
        <w:szCs w:val="16"/>
      </w:rPr>
      <w:t>3</w:t>
    </w:r>
    <w:r>
      <w:rPr>
        <w:sz w:val="16"/>
        <w:szCs w:val="16"/>
      </w:rPr>
      <w:t xml:space="preserve"> </w:t>
    </w:r>
  </w:p>
  <w:p w14:paraId="1717F21B" w14:textId="77777777" w:rsidR="00F40032" w:rsidRDefault="00F40032" w:rsidP="00F40032">
    <w:pPr>
      <w:pStyle w:val="Default"/>
      <w:jc w:val="right"/>
      <w:rPr>
        <w:b/>
        <w:bCs/>
        <w:sz w:val="16"/>
        <w:szCs w:val="16"/>
      </w:rPr>
    </w:pPr>
    <w:r>
      <w:rPr>
        <w:b/>
        <w:bCs/>
        <w:sz w:val="16"/>
        <w:szCs w:val="16"/>
      </w:rPr>
      <w:t>OBSERVATORIO DE PARTICIPACIÓN POLÍTICA</w:t>
    </w:r>
  </w:p>
  <w:p w14:paraId="53F6D9F7" w14:textId="394FDD93" w:rsidR="00F40032" w:rsidRDefault="00F40032" w:rsidP="00F40032">
    <w:pPr>
      <w:pStyle w:val="Default"/>
      <w:jc w:val="right"/>
      <w:rPr>
        <w:b/>
        <w:bCs/>
        <w:sz w:val="16"/>
        <w:szCs w:val="16"/>
      </w:rPr>
    </w:pPr>
    <w:r>
      <w:rPr>
        <w:b/>
        <w:bCs/>
        <w:sz w:val="16"/>
        <w:szCs w:val="16"/>
      </w:rPr>
      <w:t xml:space="preserve">DE LAS MUJERES EN EL ESTADO DE SAN LUIS POTOSÍ </w:t>
    </w:r>
  </w:p>
  <w:p w14:paraId="47F42512" w14:textId="60C7DA2C" w:rsidR="000E2DB9" w:rsidRDefault="000E2DB9" w:rsidP="00F40032">
    <w:pPr>
      <w:pStyle w:val="Default"/>
      <w:jc w:val="right"/>
      <w:rPr>
        <w:b/>
        <w:bCs/>
        <w:sz w:val="16"/>
        <w:szCs w:val="16"/>
      </w:rPr>
    </w:pPr>
    <w:r>
      <w:rPr>
        <w:b/>
        <w:bCs/>
        <w:sz w:val="16"/>
        <w:szCs w:val="16"/>
      </w:rPr>
      <w:t>PRESIDE</w:t>
    </w:r>
    <w:r w:rsidR="00E775CA">
      <w:rPr>
        <w:b/>
        <w:bCs/>
        <w:sz w:val="16"/>
        <w:szCs w:val="16"/>
      </w:rPr>
      <w:t xml:space="preserve">: </w:t>
    </w:r>
    <w:r>
      <w:rPr>
        <w:b/>
        <w:bCs/>
        <w:sz w:val="16"/>
        <w:szCs w:val="16"/>
      </w:rPr>
      <w:t>TRIBUNAL ELECTORAL DE SAN LUIS POTOSÍ</w:t>
    </w:r>
  </w:p>
  <w:p w14:paraId="744FE581" w14:textId="38246AF1" w:rsidR="00F40032" w:rsidRDefault="00F40032" w:rsidP="00F40032">
    <w:pPr>
      <w:pStyle w:val="Default"/>
      <w:jc w:val="right"/>
      <w:rPr>
        <w:b/>
        <w:bCs/>
        <w:sz w:val="16"/>
        <w:szCs w:val="16"/>
      </w:rPr>
    </w:pPr>
  </w:p>
  <w:p w14:paraId="68277ABD" w14:textId="77777777" w:rsidR="00F40032" w:rsidRDefault="00F40032" w:rsidP="00F40032">
    <w:pPr>
      <w:pStyle w:val="Default"/>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3379"/>
    <w:multiLevelType w:val="hybridMultilevel"/>
    <w:tmpl w:val="13004270"/>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7B67FA"/>
    <w:multiLevelType w:val="hybridMultilevel"/>
    <w:tmpl w:val="72E08D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7C775E"/>
    <w:multiLevelType w:val="hybridMultilevel"/>
    <w:tmpl w:val="514EA0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270582"/>
    <w:multiLevelType w:val="hybridMultilevel"/>
    <w:tmpl w:val="1CC62B08"/>
    <w:lvl w:ilvl="0" w:tplc="705CDD22">
      <w:start w:val="1"/>
      <w:numFmt w:val="upperLetter"/>
      <w:lvlText w:val="%1."/>
      <w:lvlJc w:val="left"/>
      <w:pPr>
        <w:ind w:left="720" w:hanging="360"/>
      </w:pPr>
      <w:rPr>
        <w:rFonts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CB0805"/>
    <w:multiLevelType w:val="hybridMultilevel"/>
    <w:tmpl w:val="7CA8D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F82E62"/>
    <w:multiLevelType w:val="hybridMultilevel"/>
    <w:tmpl w:val="0AF0D920"/>
    <w:lvl w:ilvl="0" w:tplc="B56A5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622674"/>
    <w:multiLevelType w:val="hybridMultilevel"/>
    <w:tmpl w:val="D6A29A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715BF8"/>
    <w:multiLevelType w:val="hybridMultilevel"/>
    <w:tmpl w:val="A43C2978"/>
    <w:lvl w:ilvl="0" w:tplc="1FA41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DE66BC"/>
    <w:multiLevelType w:val="hybridMultilevel"/>
    <w:tmpl w:val="05366C72"/>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725FEC"/>
    <w:multiLevelType w:val="hybridMultilevel"/>
    <w:tmpl w:val="4AB8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8867652">
    <w:abstractNumId w:val="9"/>
  </w:num>
  <w:num w:numId="2" w16cid:durableId="686836031">
    <w:abstractNumId w:val="3"/>
  </w:num>
  <w:num w:numId="3" w16cid:durableId="166142807">
    <w:abstractNumId w:val="8"/>
  </w:num>
  <w:num w:numId="4" w16cid:durableId="528028250">
    <w:abstractNumId w:val="6"/>
  </w:num>
  <w:num w:numId="5" w16cid:durableId="1608728859">
    <w:abstractNumId w:val="5"/>
  </w:num>
  <w:num w:numId="6" w16cid:durableId="1998802665">
    <w:abstractNumId w:val="0"/>
  </w:num>
  <w:num w:numId="7" w16cid:durableId="2103602180">
    <w:abstractNumId w:val="1"/>
  </w:num>
  <w:num w:numId="8" w16cid:durableId="73553388">
    <w:abstractNumId w:val="7"/>
  </w:num>
  <w:num w:numId="9" w16cid:durableId="289671039">
    <w:abstractNumId w:val="2"/>
  </w:num>
  <w:num w:numId="10" w16cid:durableId="39886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32"/>
    <w:rsid w:val="00001795"/>
    <w:rsid w:val="000300B8"/>
    <w:rsid w:val="000E2DB9"/>
    <w:rsid w:val="00153E70"/>
    <w:rsid w:val="001C27BB"/>
    <w:rsid w:val="001F4531"/>
    <w:rsid w:val="00217C53"/>
    <w:rsid w:val="002866D4"/>
    <w:rsid w:val="002A7327"/>
    <w:rsid w:val="003831A9"/>
    <w:rsid w:val="005515D0"/>
    <w:rsid w:val="005D1442"/>
    <w:rsid w:val="006360E3"/>
    <w:rsid w:val="00675C7E"/>
    <w:rsid w:val="006954D9"/>
    <w:rsid w:val="0074310C"/>
    <w:rsid w:val="00746F52"/>
    <w:rsid w:val="00787DAA"/>
    <w:rsid w:val="007E193B"/>
    <w:rsid w:val="00863FF1"/>
    <w:rsid w:val="008C7A6A"/>
    <w:rsid w:val="00901C15"/>
    <w:rsid w:val="00925B2E"/>
    <w:rsid w:val="00957927"/>
    <w:rsid w:val="00992157"/>
    <w:rsid w:val="00B1422C"/>
    <w:rsid w:val="00C77273"/>
    <w:rsid w:val="00CD12B6"/>
    <w:rsid w:val="00D419D5"/>
    <w:rsid w:val="00D64F13"/>
    <w:rsid w:val="00DE5657"/>
    <w:rsid w:val="00E775CA"/>
    <w:rsid w:val="00E86FB9"/>
    <w:rsid w:val="00E92C5F"/>
    <w:rsid w:val="00F400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74B1"/>
  <w15:chartTrackingRefBased/>
  <w15:docId w15:val="{8ED96B69-FE72-40A5-8993-2E67CE6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4003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F400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032"/>
  </w:style>
  <w:style w:type="paragraph" w:styleId="Piedepgina">
    <w:name w:val="footer"/>
    <w:basedOn w:val="Normal"/>
    <w:link w:val="PiedepginaCar"/>
    <w:uiPriority w:val="99"/>
    <w:unhideWhenUsed/>
    <w:rsid w:val="00F400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032"/>
  </w:style>
  <w:style w:type="table" w:styleId="Tablaconcuadrcula">
    <w:name w:val="Table Grid"/>
    <w:basedOn w:val="Tablanormal"/>
    <w:uiPriority w:val="39"/>
    <w:rsid w:val="0099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2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5</Pages>
  <Words>945</Words>
  <Characters>5201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Office04 Teslp</dc:creator>
  <cp:keywords/>
  <dc:description/>
  <cp:lastModifiedBy>Tribunal Electoral De San Luis Potosí 09</cp:lastModifiedBy>
  <cp:revision>7</cp:revision>
  <dcterms:created xsi:type="dcterms:W3CDTF">2023-01-09T20:51:00Z</dcterms:created>
  <dcterms:modified xsi:type="dcterms:W3CDTF">2023-01-30T16:25:00Z</dcterms:modified>
</cp:coreProperties>
</file>